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 Водовод Златибор </w:t>
      </w:r>
    </w:p>
    <w:p w:rsidR="00C25458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B40A3">
        <w:rPr>
          <w:rFonts w:ascii="Times New Roman" w:hAnsi="Times New Roman" w:cs="Times New Roman"/>
          <w:sz w:val="24"/>
          <w:szCs w:val="24"/>
          <w:lang w:val="sr-Latn-RS"/>
        </w:rPr>
        <w:t>31.03.2022.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458" w:rsidRDefault="00C25458" w:rsidP="0013768B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3768B" w:rsidRPr="006B40A3" w:rsidRDefault="006B40A3" w:rsidP="0013768B">
      <w:pPr>
        <w:rPr>
          <w:rFonts w:ascii="Times New Roman" w:hAnsi="Times New Roman" w:cs="Times New Roman"/>
          <w:b/>
          <w:sz w:val="20"/>
          <w:szCs w:val="20"/>
        </w:rPr>
      </w:pPr>
      <w:r w:rsidRPr="006B40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proofErr w:type="spellStart"/>
      <w:proofErr w:type="gramStart"/>
      <w:r w:rsidRPr="006B40A3">
        <w:rPr>
          <w:rFonts w:ascii="Times New Roman" w:hAnsi="Times New Roman" w:cs="Times New Roman"/>
          <w:b/>
          <w:sz w:val="20"/>
          <w:szCs w:val="20"/>
        </w:rPr>
        <w:t>Чајетина</w:t>
      </w:r>
      <w:proofErr w:type="spellEnd"/>
      <w:r w:rsidRPr="006B40A3">
        <w:rPr>
          <w:rFonts w:ascii="Times New Roman" w:hAnsi="Times New Roman" w:cs="Times New Roman"/>
          <w:b/>
          <w:sz w:val="20"/>
          <w:szCs w:val="20"/>
        </w:rPr>
        <w:t>, 31.03.2022.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Јавно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Водовод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Златибор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Чајетина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Александра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Карађорђевића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6а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Сакупљање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пречишћавање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дистрибуција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воде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20302976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105060489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финансија</w:t>
      </w:r>
      <w:proofErr w:type="spell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36.00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37.00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42.21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цевовода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43.22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43.12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45.20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49.41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82.99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Законски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правилницима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уредбама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предудзеће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освнивач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proofErr w:type="gramStart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4/06, 6/07 и 6/11)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26/2012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03.02.2012.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канализацији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13/02 и 6/2003)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прикључивања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271B7"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lastRenderedPageBreak/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8/97)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површинаи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9/2000, 2002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одлукомуређује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Ценовник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BF085C" w:rsidRPr="00C25458" w:rsidRDefault="004B030F" w:rsidP="00BF08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инвестирање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95D" w:rsidRPr="00AF054E" w:rsidRDefault="00F4195D" w:rsidP="00AF05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</w:t>
      </w:r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15.12.2021.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5032-2/21, а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27.12.2021.г.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F054E">
        <w:rPr>
          <w:rFonts w:ascii="Times New Roman" w:hAnsi="Times New Roman" w:cs="Times New Roman"/>
          <w:sz w:val="24"/>
          <w:szCs w:val="24"/>
        </w:rPr>
        <w:t xml:space="preserve"> 02-175/2021-01</w:t>
      </w:r>
    </w:p>
    <w:p w:rsidR="00F4195D" w:rsidRPr="00AF054E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1F3F7E" w:rsidRPr="009073A3" w:rsidRDefault="001F3F7E" w:rsidP="001F3F7E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31</w:t>
      </w:r>
      <w:r>
        <w:rPr>
          <w:rFonts w:ascii="Times New Roman" w:hAnsi="Times New Roman" w:cs="Times New Roman"/>
          <w:iCs/>
          <w:sz w:val="24"/>
          <w:szCs w:val="24"/>
        </w:rPr>
        <w:t>.03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и  ови приходи чине  </w:t>
      </w:r>
      <w:r w:rsidR="00EB02FC">
        <w:rPr>
          <w:rFonts w:ascii="Times New Roman" w:hAnsi="Times New Roman" w:cs="Times New Roman"/>
          <w:iCs/>
          <w:sz w:val="24"/>
          <w:szCs w:val="24"/>
          <w:lang w:val="sr-Latn-RS"/>
        </w:rPr>
        <w:t>67,35%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остварених  прихода  у овом периоду.  У плану за целу  пословну 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B02FC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годину ови  приходи имају учешће од  </w:t>
      </w:r>
      <w:r w:rsidR="009073A3">
        <w:rPr>
          <w:rFonts w:ascii="Times New Roman" w:hAnsi="Times New Roman" w:cs="Times New Roman"/>
          <w:iCs/>
          <w:sz w:val="24"/>
          <w:szCs w:val="24"/>
        </w:rPr>
        <w:t>31,24%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1F3F7E" w:rsidRDefault="001F3F7E" w:rsidP="001F3F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остварени су у складу са могућностима и условима пословања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првог квартала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57.090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обухватају приходе од основне делатности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45.440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, а остало су приходи од грађевинских радова,прикључака на месне водоводе  , услуге обједињене наплате комуналних услуга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по основу државних давања и условљених донација, остали приходи.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7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.877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38.944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9.157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, материјал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6.305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динара,  гориво и енергија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7.511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6.602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нематеријални трошкови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3.358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динара. Остварен је пословни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14.787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У овом 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добитак  из финансирања у износу од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1.035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, а узимајући у обзир и остале  расходе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од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712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 , остале  приходе  од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679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динара, расходе од усклађивања вредности имовине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939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8.505 хиљада динара 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01.01.202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.-31.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износи 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6.219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пре опорезивања.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почетка израде кварталног извештаја.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Редовни месечни трошкови за које није достављена документација (електрична енергија, трошкови радника преко агенцијског запошљавања, утрошак горива) су укључени у процењеном износу на основу претходног периода).</w:t>
      </w:r>
    </w:p>
    <w:p w:rsidR="008E481C" w:rsidRDefault="001F3F7E" w:rsidP="004C04E6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1F3F7E" w:rsidRPr="00627970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крају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првог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 износ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1.246.413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015.055</w:t>
      </w:r>
      <w:r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овом периоду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01.01.-31.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F71933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Стална имовина обухвата: грађевинске објекте  372.922 хиљаде динара; постројења и опрему 101.616 хиљада динара; некретнине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 постројења и опрему у припреми 537.578 хиљада динара; улагања на туђим некретнинама 2.111 хиљада динара; нематеријалну имовину 828 хиљада динара.</w:t>
      </w:r>
    </w:p>
    <w:p w:rsidR="001F3F7E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231.358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.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имовина обухвата: залихе 43.513 хиљада динара; потраживања по основу продаје 79.981 хиљада динара; остала краткорочна потраживања 12.088 хиљада динара; краткорочни финансијски пласмани 1.668 хиљада динара; 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>готовина и готовински еквиваленти 91.832 хиљада динара; краткорочна активна временска разграничења 2.276 хиљада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 укупан капитал износи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869.486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хиљада, дугорочна резервисања и обавезе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28.857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95.942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10.845</w:t>
      </w:r>
      <w:r w:rsidR="00F71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динара, дугорочни одложени приходи и примљне донације 241.283 хиљаде динара.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капитал обухвата : основни капитал (државни) 591.967 хиљада динара; нераспоређени добитак ранијих година 283.738 хиљада динара; губитак текуће године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6.219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Дугорочна резервисања и дугорочне обавезе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обухвата: дугорочни кредити 20.551 хиљада динара; резервисања за накнаде и друге бенефиције запослених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8.306 </w:t>
      </w:r>
      <w:r w:rsidR="00816C56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1F3F7E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Краткорочне обавезе обухватају: део дугорочних кредита који доспева до годину дана 8.769 хиљада динара; примљени аванси 12.775 хиљада динара; обавезе према добављачима 40.168 хиљада динара; остале креткорочне обавезе 34.230 хиљада динара.</w:t>
      </w: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F3F7E" w:rsidRPr="001F3F7E" w:rsidRDefault="001F3F7E" w:rsidP="001A63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веће је у односу на планом предвиђено. Планирано је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69.800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 дан 31.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91.832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динара. У току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првог квартала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остварен је нето одлив у износу од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18.607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динара, па са готовином на почетку обрачунског периода (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110.439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) стање готовине 31.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91.832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пословних активности остварен је нето прилив у износу од  9.600 хиљада динара, 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активности инвестирања остварен је нето одлив у износу од 353 хиљаде динара, из активности финансирања остварен је нето одлив у износу од 27.854 хиљаде динара , што укупно чини нето одлив од 18.607 хиљада динара. 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 зарада запослених у периоду  од  01.01.-31.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су у планираним оквирима   , (трошкови зарада су остварени 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86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% у односу на планиране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за први квартал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8440B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остварене су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87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дневнице за службено путовање остварене су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105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накнаде трошкова на службеном путу остварене су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а све у односу на планирано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за први квартал 2022. године.</w:t>
      </w:r>
    </w:p>
    <w:p w:rsidR="001F3F7E" w:rsidRDefault="00141D31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Дневнице за службено путовање веће су за 5% у односу на план за овај квартал, у другом кварталу  ће се кориговати ови трошкови, тако да буду у оквиру плана за период 01.01.-30.06.2022. године.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Планирано је да је на крају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 xml:space="preserve">првог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квартала 202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број запослених на неодређено време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Остварено је  8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1  запослени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8 запослених на одређено време.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Распон планираних и исплаћених зарада дати су подаци о највишој и најнижој исплаћеној заради за запослене без пословодства , укупно просечно исплаћена зарада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мања  од планом предвиђене просечне зараде за запослене  без пословодства. Појединачно навиша исплаћена зарада је већа од планом предвиђене из разлога што је  у 2022.г. извршена измена  у систематизацији , па је навиша зарада исплаћена за запосленог на радном месту које није </w:t>
      </w:r>
      <w:r w:rsidR="00BD7D24">
        <w:rPr>
          <w:rFonts w:ascii="Times New Roman" w:hAnsi="Times New Roman" w:cs="Times New Roman"/>
          <w:sz w:val="24"/>
          <w:szCs w:val="24"/>
          <w:lang w:val="sr-Cyrl-RS"/>
        </w:rPr>
        <w:t>постојало при изради програма за 2022.годину.</w:t>
      </w:r>
    </w:p>
    <w:p w:rsidR="00210FA2" w:rsidRPr="00210FA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исплаћеној заради за пословодство односе се на зараду директора,  појединачно и просечно исплаћена зарада је мања од планом предвиђене.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Pr="0038440B" w:rsidRDefault="0038440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кварталу није било субвенција и осталих прихода из буџета.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5C2D89" w:rsidRPr="003F61D1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репрезентације , рекламе и пропаганде.</w:t>
      </w:r>
    </w:p>
    <w:p w:rsidR="005C2D89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остварени </w:t>
      </w:r>
      <w:r w:rsidR="00F34B50">
        <w:rPr>
          <w:rFonts w:ascii="Times New Roman" w:hAnsi="Times New Roman" w:cs="Times New Roman"/>
          <w:sz w:val="24"/>
          <w:szCs w:val="24"/>
          <w:lang w:val="sr-Cyrl-RS"/>
        </w:rPr>
        <w:t>65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F34B50">
        <w:rPr>
          <w:rFonts w:ascii="Times New Roman" w:hAnsi="Times New Roman" w:cs="Times New Roman"/>
          <w:sz w:val="24"/>
          <w:szCs w:val="24"/>
          <w:lang w:val="sr-Cyrl-RS"/>
        </w:rPr>
        <w:t>за први квартал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2D89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 рекламу и пропаганду  остварени су </w:t>
      </w:r>
      <w:r w:rsidR="00F34B5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 у односу на планиране </w:t>
      </w:r>
      <w:r w:rsidR="00E01CF6">
        <w:rPr>
          <w:rFonts w:ascii="Times New Roman" w:hAnsi="Times New Roman" w:cs="Times New Roman"/>
          <w:sz w:val="24"/>
          <w:szCs w:val="24"/>
          <w:lang w:val="sr-Cyrl-RS"/>
        </w:rPr>
        <w:t>за први квартал.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Pr="00166154" w:rsidRDefault="001661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на дан 31.12.2022.године има обавезу по кредитима за набавку опреме у укупном износу од 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249.406 евра. Месечне обавезе по основу кредита су 9.153 евра у динарској  противвредности  по средњем курсу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НБС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плаћања рате главнице. Плаћањ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камате врши се по истеку месеца и износи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приближно 600 евра, такође у динарској противвредности по средњем курсу НБС на дан плаћања.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AA5BFF" w:rsidRDefault="00AA5BFF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у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првом  кварталу 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може се видети која је опрема набављена и у ком износу. Опрема чија је  набавка планирана , а није реализована , набавке ће се обавити у наредном периоду  у складу са потребама и могућностима предузећа.</w:t>
      </w: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11. ПОТРАЖИВАЊА, ОБАВЕЗЕ И СУДСКИ СПОРОВИ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потраживања приказана је старосна структура потраживања од купаца по периодима са напоменом да су за потраживања од  грађана за комуналне услуге , а која  су старија од 12 месеци , предати предлози за извршење јавним извршитељима.</w:t>
      </w:r>
    </w:p>
    <w:p w:rsidR="00174FA7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</w:t>
      </w:r>
      <w:r w:rsidR="00174FA7">
        <w:rPr>
          <w:rFonts w:ascii="Times New Roman" w:hAnsi="Times New Roman" w:cs="Times New Roman"/>
          <w:sz w:val="24"/>
          <w:szCs w:val="24"/>
          <w:lang w:val="sr-Cyrl-RS"/>
        </w:rPr>
        <w:t>обавезе приказане су обавезе према добављачима по периодима . Предузеће  све обавезе према добављачима измирује у законском року. Износ за период од 3 до 12 месеци односи се на обавезу за осигурање имовине, јер осигуравајућем друштву премије осигурања плаћамо на 12 месечних рата у складу са закљученим уговором.</w:t>
      </w:r>
    </w:p>
    <w:p w:rsidR="00F34B50" w:rsidRDefault="00174FA7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 старија од 12 месеци </w:t>
      </w:r>
      <w:r w:rsidR="00C25458">
        <w:rPr>
          <w:rFonts w:ascii="Times New Roman" w:hAnsi="Times New Roman" w:cs="Times New Roman"/>
          <w:sz w:val="24"/>
          <w:szCs w:val="24"/>
          <w:lang w:val="sr-Cyrl-RS"/>
        </w:rPr>
        <w:t xml:space="preserve"> односи се на гарантни депозит  по уговору за изградњу постројења за прераду отпадних вода на Златибору</w:t>
      </w:r>
      <w:r w:rsidR="00ED1654">
        <w:rPr>
          <w:rFonts w:ascii="Times New Roman" w:hAnsi="Times New Roman" w:cs="Times New Roman"/>
          <w:sz w:val="24"/>
          <w:szCs w:val="24"/>
          <w:lang w:val="sr-Cyrl-RS"/>
        </w:rPr>
        <w:t>, а</w:t>
      </w:r>
      <w:bookmarkStart w:id="0" w:name="_GoBack"/>
      <w:bookmarkEnd w:id="0"/>
      <w:r w:rsidR="00C25458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исплаћен након отклањања свих недостатака,  техничког пријема и добијања употребне дозволе за овај објекат.</w:t>
      </w:r>
    </w:p>
    <w:p w:rsidR="000B6C54" w:rsidRPr="003A2E7D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AA5BFF" w:rsidRDefault="00AA5BFF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 прихода и расхода као и ставки биланса стања и токова готовине, предузеће своје активности у наредном  периоду  мора усмерити у правцу унапређења и побољшања у сегментима за које утврди да је то потребно, а све у циљу унапређења пословања и реализације усвојеног програма пословања.</w:t>
      </w:r>
      <w:r w:rsidR="00C254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4E84">
        <w:rPr>
          <w:rFonts w:ascii="Times New Roman" w:hAnsi="Times New Roman" w:cs="Times New Roman"/>
          <w:bCs/>
          <w:sz w:val="24"/>
          <w:szCs w:val="24"/>
          <w:lang w:val="sr-Cyrl-RS"/>
        </w:rPr>
        <w:t>Првенствено, акценат се мора ставити на грађевинске радове, имајући у виду да је у плану предвиђен значајан износ прихода по основу грађевинских радова. У првом  кварталу, због неповољних временских услова, ови радови су обављени у мањем обиму, што ће се морати надокнадити у наредном периоду  пословне 2022. године.</w:t>
      </w:r>
    </w:p>
    <w:p w:rsidR="00C25458" w:rsidRDefault="00C25458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25458" w:rsidRDefault="00C25458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C25458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29.04.2022.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0A" w:rsidRDefault="00CF3A0A" w:rsidP="00F4195D">
      <w:pPr>
        <w:spacing w:after="0" w:line="240" w:lineRule="auto"/>
      </w:pPr>
      <w:r>
        <w:separator/>
      </w:r>
    </w:p>
  </w:endnote>
  <w:endnote w:type="continuationSeparator" w:id="0">
    <w:p w:rsidR="00CF3A0A" w:rsidRDefault="00CF3A0A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0A" w:rsidRDefault="00CF3A0A" w:rsidP="00F4195D">
      <w:pPr>
        <w:spacing w:after="0" w:line="240" w:lineRule="auto"/>
      </w:pPr>
      <w:r>
        <w:separator/>
      </w:r>
    </w:p>
  </w:footnote>
  <w:footnote w:type="continuationSeparator" w:id="0">
    <w:p w:rsidR="00CF3A0A" w:rsidRDefault="00CF3A0A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312A6"/>
    <w:rsid w:val="0007510C"/>
    <w:rsid w:val="0008696D"/>
    <w:rsid w:val="000B6C54"/>
    <w:rsid w:val="001074C9"/>
    <w:rsid w:val="0013768B"/>
    <w:rsid w:val="00141D31"/>
    <w:rsid w:val="00166154"/>
    <w:rsid w:val="00174FA7"/>
    <w:rsid w:val="00180B47"/>
    <w:rsid w:val="001A63B0"/>
    <w:rsid w:val="001D3787"/>
    <w:rsid w:val="001F3F7E"/>
    <w:rsid w:val="00210FA2"/>
    <w:rsid w:val="002669AB"/>
    <w:rsid w:val="00283378"/>
    <w:rsid w:val="00360D33"/>
    <w:rsid w:val="0038440B"/>
    <w:rsid w:val="003A2E7D"/>
    <w:rsid w:val="003D050F"/>
    <w:rsid w:val="00487979"/>
    <w:rsid w:val="004A67F0"/>
    <w:rsid w:val="004B030F"/>
    <w:rsid w:val="004C04E6"/>
    <w:rsid w:val="004E76B1"/>
    <w:rsid w:val="0051747E"/>
    <w:rsid w:val="00520215"/>
    <w:rsid w:val="00580444"/>
    <w:rsid w:val="00594E84"/>
    <w:rsid w:val="005C2D89"/>
    <w:rsid w:val="005C5C35"/>
    <w:rsid w:val="005F1AF2"/>
    <w:rsid w:val="0060798C"/>
    <w:rsid w:val="006B40A3"/>
    <w:rsid w:val="006B60DB"/>
    <w:rsid w:val="006D3A01"/>
    <w:rsid w:val="006E7C62"/>
    <w:rsid w:val="00816C56"/>
    <w:rsid w:val="008672D1"/>
    <w:rsid w:val="008D4EFF"/>
    <w:rsid w:val="008E481C"/>
    <w:rsid w:val="009073A3"/>
    <w:rsid w:val="00941FDF"/>
    <w:rsid w:val="00951781"/>
    <w:rsid w:val="00975557"/>
    <w:rsid w:val="009F03F9"/>
    <w:rsid w:val="00AA5BFF"/>
    <w:rsid w:val="00AB1E80"/>
    <w:rsid w:val="00AF054E"/>
    <w:rsid w:val="00B00ABF"/>
    <w:rsid w:val="00B30D30"/>
    <w:rsid w:val="00BD7D24"/>
    <w:rsid w:val="00BF085C"/>
    <w:rsid w:val="00C25458"/>
    <w:rsid w:val="00C84619"/>
    <w:rsid w:val="00CF3A0A"/>
    <w:rsid w:val="00D53740"/>
    <w:rsid w:val="00DA5C39"/>
    <w:rsid w:val="00E01CF6"/>
    <w:rsid w:val="00E65055"/>
    <w:rsid w:val="00EB02FC"/>
    <w:rsid w:val="00ED1654"/>
    <w:rsid w:val="00EE12FA"/>
    <w:rsid w:val="00F11704"/>
    <w:rsid w:val="00F1792B"/>
    <w:rsid w:val="00F34B50"/>
    <w:rsid w:val="00F4195D"/>
    <w:rsid w:val="00F6168F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Rac4</cp:lastModifiedBy>
  <cp:revision>19</cp:revision>
  <cp:lastPrinted>2021-12-14T09:54:00Z</cp:lastPrinted>
  <dcterms:created xsi:type="dcterms:W3CDTF">2022-03-02T09:45:00Z</dcterms:created>
  <dcterms:modified xsi:type="dcterms:W3CDTF">2022-04-29T09:54:00Z</dcterms:modified>
</cp:coreProperties>
</file>