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39" w:rsidRPr="00BF085C" w:rsidRDefault="008D4EFF" w:rsidP="000312A6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Образац 12</w:t>
      </w:r>
    </w:p>
    <w:p w:rsidR="00BF085C" w:rsidRDefault="00C25458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Јавно комунално предузеће  Водовод Златибор </w:t>
      </w:r>
    </w:p>
    <w:p w:rsidR="00C25458" w:rsidRDefault="00C25458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Чајетина</w:t>
      </w: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Pr="00BF085C" w:rsidRDefault="008D4EFF" w:rsidP="00BF085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О </w:t>
      </w:r>
      <w:r w:rsidR="00BF085C"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СТЕПЕНУ УСКЛАЂЕНОСТИ ПЛАНИРАНИХ И РЕАЛИЗОВАНИХ АКТИВНОСТИ ИЗ ПРОГРАМА ПОСЛОВАЊА</w:t>
      </w:r>
    </w:p>
    <w:p w:rsidR="00BF085C" w:rsidRPr="0013768B" w:rsidRDefault="0013768B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период од 01.01</w:t>
      </w:r>
      <w:r w:rsidR="00BF085C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="000C19E6">
        <w:rPr>
          <w:rFonts w:ascii="Times New Roman" w:hAnsi="Times New Roman" w:cs="Times New Roman"/>
          <w:sz w:val="24"/>
          <w:szCs w:val="24"/>
          <w:lang w:val="sr-Cyrl-RS"/>
        </w:rPr>
        <w:t>31.03.202</w:t>
      </w:r>
      <w:r w:rsidR="00EC0162">
        <w:rPr>
          <w:rFonts w:ascii="Times New Roman" w:hAnsi="Times New Roman" w:cs="Times New Roman"/>
          <w:sz w:val="24"/>
          <w:szCs w:val="24"/>
        </w:rPr>
        <w:t>4</w:t>
      </w:r>
      <w:r w:rsidR="006B40A3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године*</w:t>
      </w: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137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5458" w:rsidRDefault="00C25458" w:rsidP="0013768B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13768B" w:rsidRPr="006B40A3" w:rsidRDefault="006B40A3" w:rsidP="0013768B">
      <w:pPr>
        <w:rPr>
          <w:rFonts w:ascii="Times New Roman" w:hAnsi="Times New Roman" w:cs="Times New Roman"/>
          <w:b/>
          <w:sz w:val="20"/>
          <w:szCs w:val="20"/>
        </w:rPr>
      </w:pPr>
      <w:r w:rsidRPr="006B40A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EF0F9E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proofErr w:type="spellStart"/>
      <w:proofErr w:type="gramStart"/>
      <w:r w:rsidR="00EF0F9E">
        <w:rPr>
          <w:rFonts w:ascii="Times New Roman" w:hAnsi="Times New Roman" w:cs="Times New Roman"/>
          <w:b/>
          <w:sz w:val="20"/>
          <w:szCs w:val="20"/>
        </w:rPr>
        <w:t>Чајетина</w:t>
      </w:r>
      <w:proofErr w:type="spellEnd"/>
      <w:r w:rsidR="00EF0F9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C3054">
        <w:rPr>
          <w:rFonts w:ascii="Times New Roman" w:hAnsi="Times New Roman" w:cs="Times New Roman"/>
          <w:b/>
          <w:sz w:val="20"/>
          <w:szCs w:val="20"/>
          <w:lang w:val="sr-Cyrl-RS"/>
        </w:rPr>
        <w:t>29</w:t>
      </w:r>
      <w:r w:rsidR="000C19E6">
        <w:rPr>
          <w:rFonts w:ascii="Times New Roman" w:hAnsi="Times New Roman" w:cs="Times New Roman"/>
          <w:b/>
          <w:sz w:val="20"/>
          <w:szCs w:val="20"/>
          <w:lang w:val="sr-Cyrl-RS"/>
        </w:rPr>
        <w:t>.04</w:t>
      </w:r>
      <w:r w:rsidRPr="006B40A3">
        <w:rPr>
          <w:rFonts w:ascii="Times New Roman" w:hAnsi="Times New Roman" w:cs="Times New Roman"/>
          <w:b/>
          <w:sz w:val="20"/>
          <w:szCs w:val="20"/>
        </w:rPr>
        <w:t>.202</w:t>
      </w:r>
      <w:r w:rsidR="00EC0162">
        <w:rPr>
          <w:rFonts w:ascii="Times New Roman" w:hAnsi="Times New Roman" w:cs="Times New Roman"/>
          <w:b/>
          <w:sz w:val="20"/>
          <w:szCs w:val="20"/>
        </w:rPr>
        <w:t>4</w:t>
      </w:r>
      <w:r w:rsidRPr="006B40A3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:rsidR="00BF085C" w:rsidRPr="00BF085C" w:rsidRDefault="00BF085C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</w:t>
      </w:r>
      <w:r w:rsidRPr="00BF085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</w:t>
      </w: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ОСНОВНИ СТАТУСНИ ПОДАЦИ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Пословно име:</w:t>
      </w:r>
      <w:r w:rsidR="00F4195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Јавно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комунално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Водовод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Златибор</w:t>
      </w:r>
      <w:proofErr w:type="spellEnd"/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Седиште:</w:t>
      </w:r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Чајетина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Александра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Карађорђевића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6а</w:t>
      </w:r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Претежна делатност:</w:t>
      </w:r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3600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Сакупљање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пречишћавање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дистрибуција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воде</w:t>
      </w:r>
      <w:proofErr w:type="spellEnd"/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Матични број:</w:t>
      </w:r>
      <w:r w:rsidR="006B40A3">
        <w:rPr>
          <w:rFonts w:ascii="Times New Roman" w:hAnsi="Times New Roman" w:cs="Times New Roman"/>
          <w:sz w:val="24"/>
          <w:szCs w:val="24"/>
          <w:u w:val="single"/>
        </w:rPr>
        <w:t>20302976</w:t>
      </w:r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ПИБ:</w:t>
      </w:r>
      <w:r w:rsidR="006B40A3">
        <w:rPr>
          <w:rFonts w:ascii="Times New Roman" w:hAnsi="Times New Roman" w:cs="Times New Roman"/>
          <w:sz w:val="24"/>
          <w:szCs w:val="24"/>
          <w:u w:val="single"/>
        </w:rPr>
        <w:t>105060489</w:t>
      </w:r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Надлежно министарство: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финансија</w:t>
      </w:r>
      <w:proofErr w:type="spellEnd"/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Претежна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делатност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:</w:t>
      </w:r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36.00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сакупљање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пречишћавање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дистрибуција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="0094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обављати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: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37.00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уклањање</w:t>
      </w:r>
      <w:proofErr w:type="spellEnd"/>
      <w:r w:rsidR="0094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42.21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цевовода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43.22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водоводних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канализационих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цеви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42.99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непоменутих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грађевина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43.12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градилишта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43.99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непоменути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специфични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45.20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моторних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49.41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друмски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терета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82.99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услужне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Законски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оквир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>:</w:t>
      </w:r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Оснивање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делатностима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привредним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друштвима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правилницима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уредбама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регулишу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предудзеће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одлукама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оснивача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="00941F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освнивач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: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оснивању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комуналног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Водовод</w:t>
      </w:r>
      <w:proofErr w:type="spellEnd"/>
      <w:proofErr w:type="gramStart"/>
      <w:r w:rsidRPr="00C25458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Златибор</w:t>
      </w:r>
      <w:proofErr w:type="spellEnd"/>
      <w:proofErr w:type="gramEnd"/>
      <w:r w:rsidRPr="00C254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гласникброј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4/06, 6/07 и 6/11) и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измени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допуни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оснивању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комуналног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Водовод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Златибор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26/2012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03.02.2012. </w:t>
      </w: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водоводу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канализацији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4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13/02 и 6/2003) -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снабдевања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прикључивања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водоводну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канализациону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мрежу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уређаја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снабдевање</w:t>
      </w:r>
      <w:proofErr w:type="spellEnd"/>
      <w:r w:rsidRPr="00A271B7"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lastRenderedPageBreak/>
        <w:t>водом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пречишћавање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ограничења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потрошње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уређаја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уређењу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насеља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8/97) -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насеља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чистоће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површинаи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облику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начину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плаћања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услуга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9/2000, 2002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одлукомуређује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наплате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Ценовник</w:t>
      </w:r>
      <w:proofErr w:type="spellEnd"/>
      <w:r w:rsidR="00941F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основних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услуга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B030F" w:rsidRPr="00C25458" w:rsidRDefault="004B030F" w:rsidP="004B030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финансирања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>:</w:t>
      </w:r>
    </w:p>
    <w:p w:rsidR="00BF085C" w:rsidRPr="00C25458" w:rsidRDefault="004B030F" w:rsidP="00BF085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инвестирање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даљи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195D" w:rsidRDefault="00F4195D" w:rsidP="00AF0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Годишњи</w:t>
      </w:r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202</w:t>
      </w:r>
      <w:r w:rsidR="00EC0162">
        <w:rPr>
          <w:rFonts w:ascii="Times New Roman" w:hAnsi="Times New Roman" w:cs="Times New Roman"/>
          <w:sz w:val="24"/>
          <w:szCs w:val="24"/>
        </w:rPr>
        <w:t>4</w:t>
      </w:r>
      <w:r w:rsidR="004B0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B030F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усвојен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r w:rsidR="006C081D">
        <w:rPr>
          <w:rFonts w:ascii="Times New Roman" w:hAnsi="Times New Roman" w:cs="Times New Roman"/>
          <w:sz w:val="24"/>
          <w:szCs w:val="24"/>
        </w:rPr>
        <w:t>30.11.202</w:t>
      </w:r>
      <w:r w:rsidR="00EC0162">
        <w:rPr>
          <w:rFonts w:ascii="Times New Roman" w:hAnsi="Times New Roman" w:cs="Times New Roman"/>
          <w:sz w:val="24"/>
          <w:szCs w:val="24"/>
        </w:rPr>
        <w:t>3</w:t>
      </w:r>
      <w:r w:rsidR="004B0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B030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4B0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r w:rsidR="006C081D">
        <w:rPr>
          <w:rFonts w:ascii="Times New Roman" w:hAnsi="Times New Roman" w:cs="Times New Roman"/>
          <w:sz w:val="24"/>
          <w:szCs w:val="24"/>
        </w:rPr>
        <w:t>515</w:t>
      </w:r>
      <w:r w:rsidR="00EC0162">
        <w:rPr>
          <w:rFonts w:ascii="Times New Roman" w:hAnsi="Times New Roman" w:cs="Times New Roman"/>
          <w:sz w:val="24"/>
          <w:szCs w:val="24"/>
        </w:rPr>
        <w:t>7</w:t>
      </w:r>
      <w:r w:rsidR="006C081D">
        <w:rPr>
          <w:rFonts w:ascii="Times New Roman" w:hAnsi="Times New Roman" w:cs="Times New Roman"/>
          <w:sz w:val="24"/>
          <w:szCs w:val="24"/>
        </w:rPr>
        <w:t>-</w:t>
      </w:r>
      <w:r w:rsidR="00EC0162">
        <w:rPr>
          <w:rFonts w:ascii="Times New Roman" w:hAnsi="Times New Roman" w:cs="Times New Roman"/>
          <w:sz w:val="24"/>
          <w:szCs w:val="24"/>
        </w:rPr>
        <w:t>1</w:t>
      </w:r>
      <w:r w:rsidR="006C081D">
        <w:rPr>
          <w:rFonts w:ascii="Times New Roman" w:hAnsi="Times New Roman" w:cs="Times New Roman"/>
          <w:sz w:val="24"/>
          <w:szCs w:val="24"/>
        </w:rPr>
        <w:t>/2</w:t>
      </w:r>
      <w:r w:rsidR="00EC0162">
        <w:rPr>
          <w:rFonts w:ascii="Times New Roman" w:hAnsi="Times New Roman" w:cs="Times New Roman"/>
          <w:sz w:val="24"/>
          <w:szCs w:val="24"/>
        </w:rPr>
        <w:t>3</w:t>
      </w:r>
      <w:r w:rsidR="004B030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дала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r w:rsidR="00EC0162">
        <w:rPr>
          <w:rFonts w:ascii="Times New Roman" w:hAnsi="Times New Roman" w:cs="Times New Roman"/>
          <w:sz w:val="24"/>
          <w:szCs w:val="24"/>
        </w:rPr>
        <w:t>14</w:t>
      </w:r>
      <w:r w:rsidR="004B030F">
        <w:rPr>
          <w:rFonts w:ascii="Times New Roman" w:hAnsi="Times New Roman" w:cs="Times New Roman"/>
          <w:sz w:val="24"/>
          <w:szCs w:val="24"/>
        </w:rPr>
        <w:t>.12.202</w:t>
      </w:r>
      <w:r w:rsidR="00EC0162">
        <w:rPr>
          <w:rFonts w:ascii="Times New Roman" w:hAnsi="Times New Roman" w:cs="Times New Roman"/>
          <w:sz w:val="24"/>
          <w:szCs w:val="24"/>
        </w:rPr>
        <w:t>3</w:t>
      </w:r>
      <w:r w:rsidR="004B030F">
        <w:rPr>
          <w:rFonts w:ascii="Times New Roman" w:hAnsi="Times New Roman" w:cs="Times New Roman"/>
          <w:sz w:val="24"/>
          <w:szCs w:val="24"/>
        </w:rPr>
        <w:t xml:space="preserve">.г.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F054E">
        <w:rPr>
          <w:rFonts w:ascii="Times New Roman" w:hAnsi="Times New Roman" w:cs="Times New Roman"/>
          <w:sz w:val="24"/>
          <w:szCs w:val="24"/>
        </w:rPr>
        <w:t xml:space="preserve"> 02-1</w:t>
      </w:r>
      <w:r w:rsidR="00EC0162">
        <w:rPr>
          <w:rFonts w:ascii="Times New Roman" w:hAnsi="Times New Roman" w:cs="Times New Roman"/>
          <w:sz w:val="24"/>
          <w:szCs w:val="24"/>
        </w:rPr>
        <w:t>39</w:t>
      </w:r>
      <w:r w:rsidR="00AF054E">
        <w:rPr>
          <w:rFonts w:ascii="Times New Roman" w:hAnsi="Times New Roman" w:cs="Times New Roman"/>
          <w:sz w:val="24"/>
          <w:szCs w:val="24"/>
        </w:rPr>
        <w:t>/202</w:t>
      </w:r>
      <w:r w:rsidR="00EC0162">
        <w:rPr>
          <w:rFonts w:ascii="Times New Roman" w:hAnsi="Times New Roman" w:cs="Times New Roman"/>
          <w:sz w:val="24"/>
          <w:szCs w:val="24"/>
        </w:rPr>
        <w:t>3</w:t>
      </w:r>
      <w:r w:rsidR="00AF054E">
        <w:rPr>
          <w:rFonts w:ascii="Times New Roman" w:hAnsi="Times New Roman" w:cs="Times New Roman"/>
          <w:sz w:val="24"/>
          <w:szCs w:val="24"/>
        </w:rPr>
        <w:t>-01</w:t>
      </w:r>
      <w:r w:rsidR="00101D68">
        <w:rPr>
          <w:rFonts w:ascii="Times New Roman" w:hAnsi="Times New Roman" w:cs="Times New Roman"/>
          <w:sz w:val="24"/>
          <w:szCs w:val="24"/>
        </w:rPr>
        <w:t>.</w:t>
      </w:r>
    </w:p>
    <w:p w:rsidR="00F4195D" w:rsidRDefault="00F4195D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19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</w:t>
      </w:r>
      <w:r w:rsidRPr="00F4195D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 ПОСЛОВАЊА</w:t>
      </w:r>
    </w:p>
    <w:p w:rsidR="001F3F7E" w:rsidRPr="009073A3" w:rsidRDefault="001F3F7E" w:rsidP="001F3F7E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 периоду 01.01.20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402262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 w:rsidR="00EF0F9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до </w:t>
      </w:r>
      <w:r w:rsidR="00D85562">
        <w:rPr>
          <w:rFonts w:ascii="Times New Roman" w:hAnsi="Times New Roman" w:cs="Times New Roman"/>
          <w:iCs/>
          <w:sz w:val="24"/>
          <w:szCs w:val="24"/>
          <w:lang w:val="sr-Latn-RS"/>
        </w:rPr>
        <w:t>31.</w:t>
      </w:r>
      <w:r w:rsidR="00402262">
        <w:rPr>
          <w:rFonts w:ascii="Times New Roman" w:hAnsi="Times New Roman" w:cs="Times New Roman"/>
          <w:iCs/>
          <w:sz w:val="24"/>
          <w:szCs w:val="24"/>
          <w:lang w:val="sr-Cyrl-RS"/>
        </w:rPr>
        <w:t>03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EC0162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 ово предузеће је обављало своју основну делатност( сакупљање, пречишћавање и дистрибуција воде) и  ови приходи чине  </w:t>
      </w:r>
      <w:r w:rsidR="002C059B">
        <w:rPr>
          <w:rFonts w:ascii="Times New Roman" w:hAnsi="Times New Roman" w:cs="Times New Roman"/>
          <w:iCs/>
          <w:sz w:val="24"/>
          <w:szCs w:val="24"/>
        </w:rPr>
        <w:t>55,48</w:t>
      </w:r>
      <w:r w:rsidR="00EB02FC">
        <w:rPr>
          <w:rFonts w:ascii="Times New Roman" w:hAnsi="Times New Roman" w:cs="Times New Roman"/>
          <w:iCs/>
          <w:sz w:val="24"/>
          <w:szCs w:val="24"/>
          <w:lang w:val="sr-Latn-RS"/>
        </w:rPr>
        <w:t>%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укупно остварених  прихода  у овом периоду.  У плану за целу  пословну 20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274E26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годину ови  приходи имају учешће од  </w:t>
      </w:r>
      <w:r w:rsidR="00274E26">
        <w:rPr>
          <w:rFonts w:ascii="Times New Roman" w:hAnsi="Times New Roman" w:cs="Times New Roman"/>
          <w:iCs/>
          <w:sz w:val="24"/>
          <w:szCs w:val="24"/>
        </w:rPr>
        <w:t>38,42</w:t>
      </w:r>
      <w:r w:rsidR="009073A3">
        <w:rPr>
          <w:rFonts w:ascii="Times New Roman" w:hAnsi="Times New Roman" w:cs="Times New Roman"/>
          <w:iCs/>
          <w:sz w:val="24"/>
          <w:szCs w:val="24"/>
        </w:rPr>
        <w:t>%</w:t>
      </w:r>
      <w:r w:rsidR="009073A3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1F3F7E" w:rsidRDefault="001F3F7E" w:rsidP="001F3F7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Остали планирани приходи остварени су у складу са могућностима и условима пословања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у току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40226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првог квартала </w:t>
      </w:r>
      <w:r w:rsidR="00CC3C80">
        <w:rPr>
          <w:rFonts w:ascii="Times New Roman" w:hAnsi="Times New Roman" w:cs="Times New Roman"/>
          <w:iCs/>
          <w:sz w:val="24"/>
          <w:szCs w:val="24"/>
          <w:lang w:val="sr-Latn-RS"/>
        </w:rPr>
        <w:t>пословне</w:t>
      </w:r>
      <w:r w:rsidR="009073A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202</w:t>
      </w:r>
      <w:r w:rsidR="00EC0162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године.</w:t>
      </w:r>
    </w:p>
    <w:p w:rsidR="008E481C" w:rsidRDefault="008E481C" w:rsidP="00BF085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180B47" w:rsidRPr="00180B47" w:rsidRDefault="00180B47" w:rsidP="00180B4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0B4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180B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ОБРАЗЛОЖЕЊЕ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ОБРАЗАЦА</w:t>
      </w:r>
    </w:p>
    <w:p w:rsidR="008E481C" w:rsidRDefault="008E481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БИЛАНС УСПЕХА</w:t>
      </w:r>
    </w:p>
    <w:p w:rsidR="001F3F7E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приходи у износу од </w:t>
      </w:r>
      <w:r w:rsidR="002C059B">
        <w:rPr>
          <w:rFonts w:ascii="Times New Roman" w:hAnsi="Times New Roman" w:cs="Times New Roman"/>
          <w:iCs/>
          <w:sz w:val="24"/>
          <w:szCs w:val="24"/>
        </w:rPr>
        <w:t>116.166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обухватају приходе од основне делатности </w:t>
      </w:r>
      <w:r w:rsidR="002C059B">
        <w:rPr>
          <w:rFonts w:ascii="Times New Roman" w:hAnsi="Times New Roman" w:cs="Times New Roman"/>
          <w:iCs/>
          <w:sz w:val="24"/>
          <w:szCs w:val="24"/>
        </w:rPr>
        <w:t>68.335</w:t>
      </w:r>
      <w:r w:rsidRPr="00491F93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хиљада динара , а остало су приходи од грађевинских радова,прикључака на месне водоводе  , услуге обједињене наплате комуналних услуга 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9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зимског </w:t>
      </w:r>
      <w:r w:rsidR="00254C5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одржавања улица и путева,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приходи по основу државних давања и условљених донација, остали приходи.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F3F7E" w:rsidRPr="005344FB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расходи укупно износе </w:t>
      </w:r>
      <w:r w:rsidR="002C059B">
        <w:rPr>
          <w:rFonts w:ascii="Times New Roman" w:hAnsi="Times New Roman" w:cs="Times New Roman"/>
          <w:iCs/>
          <w:sz w:val="24"/>
          <w:szCs w:val="24"/>
        </w:rPr>
        <w:t>112.844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од чега су трошкови зарада и остали лични расходи  </w:t>
      </w:r>
      <w:r w:rsidR="002C059B">
        <w:rPr>
          <w:rFonts w:ascii="Times New Roman" w:hAnsi="Times New Roman" w:cs="Times New Roman"/>
          <w:iCs/>
          <w:sz w:val="24"/>
          <w:szCs w:val="24"/>
        </w:rPr>
        <w:t>55.292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амортизација </w:t>
      </w:r>
      <w:r w:rsidR="002C059B">
        <w:rPr>
          <w:rFonts w:ascii="Times New Roman" w:hAnsi="Times New Roman" w:cs="Times New Roman"/>
          <w:iCs/>
          <w:sz w:val="24"/>
          <w:szCs w:val="24"/>
        </w:rPr>
        <w:t>12.987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динара , материјал </w:t>
      </w:r>
      <w:r w:rsidR="002C059B">
        <w:rPr>
          <w:rFonts w:ascii="Times New Roman" w:hAnsi="Times New Roman" w:cs="Times New Roman"/>
          <w:iCs/>
          <w:sz w:val="24"/>
          <w:szCs w:val="24"/>
        </w:rPr>
        <w:t>16.587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динара,  гориво и енергија </w:t>
      </w:r>
      <w:r w:rsidR="002C059B">
        <w:rPr>
          <w:rFonts w:ascii="Times New Roman" w:hAnsi="Times New Roman" w:cs="Times New Roman"/>
          <w:iCs/>
          <w:sz w:val="24"/>
          <w:szCs w:val="24"/>
        </w:rPr>
        <w:t>13.902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 , производне услуге </w:t>
      </w:r>
      <w:r w:rsidR="002C059B">
        <w:rPr>
          <w:rFonts w:ascii="Times New Roman" w:hAnsi="Times New Roman" w:cs="Times New Roman"/>
          <w:iCs/>
          <w:sz w:val="24"/>
          <w:szCs w:val="24"/>
        </w:rPr>
        <w:t>9.639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 нематеријални трошкови</w:t>
      </w:r>
      <w:r w:rsidR="008D405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D4051" w:rsidRPr="008D405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C059B">
        <w:rPr>
          <w:rFonts w:ascii="Times New Roman" w:hAnsi="Times New Roman" w:cs="Times New Roman"/>
          <w:iCs/>
          <w:sz w:val="24"/>
          <w:szCs w:val="24"/>
        </w:rPr>
        <w:t>4.437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динара. Остварен је пословни </w:t>
      </w:r>
      <w:r w:rsidR="002C059B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C26F76">
        <w:rPr>
          <w:rFonts w:ascii="Times New Roman" w:hAnsi="Times New Roman" w:cs="Times New Roman"/>
          <w:iCs/>
          <w:sz w:val="24"/>
          <w:szCs w:val="24"/>
          <w:lang w:val="sr-Cyrl-RS"/>
        </w:rPr>
        <w:t>3.322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У овом 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>периоду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добитак  из финансирања у износу од </w:t>
      </w:r>
      <w:r w:rsidR="00C26F76">
        <w:rPr>
          <w:rFonts w:ascii="Times New Roman" w:hAnsi="Times New Roman" w:cs="Times New Roman"/>
          <w:iCs/>
          <w:sz w:val="24"/>
          <w:szCs w:val="24"/>
          <w:lang w:val="sr-Cyrl-RS"/>
        </w:rPr>
        <w:t>2.428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, а узимајући у обзир и остале  расходе  од </w:t>
      </w:r>
      <w:r w:rsidR="00C26F76">
        <w:rPr>
          <w:rFonts w:ascii="Times New Roman" w:hAnsi="Times New Roman" w:cs="Times New Roman"/>
          <w:iCs/>
          <w:sz w:val="24"/>
          <w:szCs w:val="24"/>
          <w:lang w:val="sr-Cyrl-RS"/>
        </w:rPr>
        <w:t>391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 , остале  приходе  од </w:t>
      </w:r>
      <w:r w:rsidR="00C26F7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666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динара, расходе од усклађивања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вредности имовине </w:t>
      </w:r>
      <w:r w:rsidR="00C26F76">
        <w:rPr>
          <w:rFonts w:ascii="Times New Roman" w:hAnsi="Times New Roman" w:cs="Times New Roman"/>
          <w:iCs/>
          <w:sz w:val="24"/>
          <w:szCs w:val="24"/>
          <w:lang w:val="sr-Cyrl-RS"/>
        </w:rPr>
        <w:t>4.250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приходе од усклађивања вредности имовине </w:t>
      </w:r>
      <w:r w:rsidR="00C26F76">
        <w:rPr>
          <w:rFonts w:ascii="Times New Roman" w:hAnsi="Times New Roman" w:cs="Times New Roman"/>
          <w:iCs/>
          <w:sz w:val="24"/>
          <w:szCs w:val="24"/>
          <w:lang w:val="sr-Cyrl-RS"/>
        </w:rPr>
        <w:t>3.750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 w:rsidR="00C26F7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укупан </w:t>
      </w:r>
      <w:r w:rsidR="00C26F76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01.01.202</w:t>
      </w:r>
      <w:r w:rsidR="00C26F76"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 w:rsidR="007108F7">
        <w:rPr>
          <w:rFonts w:ascii="Times New Roman" w:hAnsi="Times New Roman" w:cs="Times New Roman"/>
          <w:iCs/>
          <w:sz w:val="24"/>
          <w:szCs w:val="24"/>
          <w:lang w:val="sr-Cyrl-RS"/>
        </w:rPr>
        <w:t>.-3</w:t>
      </w:r>
      <w:r w:rsidR="00DF799C">
        <w:rPr>
          <w:rFonts w:ascii="Times New Roman" w:hAnsi="Times New Roman" w:cs="Times New Roman"/>
          <w:iCs/>
          <w:sz w:val="24"/>
          <w:szCs w:val="24"/>
          <w:lang w:val="sr-Latn-RS"/>
        </w:rPr>
        <w:t>1</w:t>
      </w:r>
      <w:r w:rsidR="007108F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5344FB">
        <w:rPr>
          <w:rFonts w:ascii="Times New Roman" w:hAnsi="Times New Roman" w:cs="Times New Roman"/>
          <w:iCs/>
          <w:sz w:val="24"/>
          <w:szCs w:val="24"/>
          <w:lang w:val="sr-Cyrl-RS"/>
        </w:rPr>
        <w:t>03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.202</w:t>
      </w:r>
      <w:r w:rsidR="00C26F76"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 износи  </w:t>
      </w:r>
      <w:r w:rsidR="005344FB">
        <w:rPr>
          <w:rFonts w:ascii="Times New Roman" w:hAnsi="Times New Roman" w:cs="Times New Roman"/>
          <w:iCs/>
          <w:sz w:val="24"/>
          <w:szCs w:val="24"/>
          <w:lang w:val="sr-Cyrl-RS"/>
        </w:rPr>
        <w:t>5.</w:t>
      </w:r>
      <w:r w:rsidR="00C26F76">
        <w:rPr>
          <w:rFonts w:ascii="Times New Roman" w:hAnsi="Times New Roman" w:cs="Times New Roman"/>
          <w:iCs/>
          <w:sz w:val="24"/>
          <w:szCs w:val="24"/>
          <w:lang w:val="sr-Cyrl-RS"/>
        </w:rPr>
        <w:t>525</w:t>
      </w:r>
      <w:r w:rsidR="00DF799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пре опорезивања</w:t>
      </w:r>
      <w:r w:rsidR="00DF799C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. Порески расход </w:t>
      </w:r>
      <w:r w:rsidR="005344FB">
        <w:rPr>
          <w:rFonts w:ascii="Times New Roman" w:hAnsi="Times New Roman" w:cs="Times New Roman"/>
          <w:iCs/>
          <w:sz w:val="24"/>
          <w:szCs w:val="24"/>
          <w:lang w:val="sr-Cyrl-RS"/>
        </w:rPr>
        <w:t>за потребе овог извештаја није утврђиван, обрачун ће бити урађен на крају пословне године.</w:t>
      </w:r>
    </w:p>
    <w:p w:rsidR="001F3F7E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Финансијски резултат је утврђен на основу документације која је достављена на књижење до почетка израде кварталног извештаја.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Редовни месечни трошкови за које није достављена документација (електрична енергија</w:t>
      </w:r>
      <w:r w:rsidR="005344FB">
        <w:rPr>
          <w:rFonts w:ascii="Times New Roman" w:hAnsi="Times New Roman" w:cs="Times New Roman"/>
          <w:iCs/>
          <w:sz w:val="24"/>
          <w:szCs w:val="24"/>
          <w:lang w:val="sr-Cyrl-RS"/>
        </w:rPr>
        <w:t>, трошкови за раднике преко агенцијск</w:t>
      </w:r>
      <w:r w:rsidR="00C26F7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ог запошљавања, утрошак горива </w:t>
      </w:r>
      <w:r w:rsidR="00FF1AAB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DF799C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>су укључени у процењеном изно</w:t>
      </w:r>
      <w:r w:rsidR="00FF1AAB">
        <w:rPr>
          <w:rFonts w:ascii="Times New Roman" w:hAnsi="Times New Roman" w:cs="Times New Roman"/>
          <w:iCs/>
          <w:sz w:val="24"/>
          <w:szCs w:val="24"/>
          <w:lang w:val="sr-Cyrl-RS"/>
        </w:rPr>
        <w:t>су на основу претходног периода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C26F7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Приходи и расходи од усклађивања вредности финансијске имовине, приходи по основу условљених донација</w:t>
      </w:r>
      <w:r w:rsidR="008834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обухваћени су овим обрачуном у ср</w:t>
      </w:r>
      <w:r w:rsidR="00C95B34">
        <w:rPr>
          <w:rFonts w:ascii="Times New Roman" w:hAnsi="Times New Roman" w:cs="Times New Roman"/>
          <w:iCs/>
          <w:sz w:val="24"/>
          <w:szCs w:val="24"/>
          <w:lang w:val="sr-Latn-RS"/>
        </w:rPr>
        <w:t>a</w:t>
      </w:r>
      <w:r w:rsidR="00883430">
        <w:rPr>
          <w:rFonts w:ascii="Times New Roman" w:hAnsi="Times New Roman" w:cs="Times New Roman"/>
          <w:iCs/>
          <w:sz w:val="24"/>
          <w:szCs w:val="24"/>
          <w:lang w:val="sr-Cyrl-RS"/>
        </w:rPr>
        <w:t>змерноном износу у односу на планиране за целу пословну 2024. годину.</w:t>
      </w:r>
    </w:p>
    <w:p w:rsidR="008E481C" w:rsidRDefault="008E481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БИЛАНС СТАЊА</w:t>
      </w:r>
    </w:p>
    <w:p w:rsidR="001F3F7E" w:rsidRPr="00627970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 и пасива  на крају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</w:t>
      </w:r>
      <w:r w:rsidR="005344FB">
        <w:rPr>
          <w:rFonts w:ascii="Times New Roman" w:hAnsi="Times New Roman" w:cs="Times New Roman"/>
          <w:iCs/>
          <w:sz w:val="24"/>
          <w:szCs w:val="24"/>
          <w:lang w:val="sr-Cyrl-RS"/>
        </w:rPr>
        <w:t>првог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квартала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="007516AF"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.г. износ</w:t>
      </w:r>
      <w:r w:rsidR="00C95B34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40FCE">
        <w:rPr>
          <w:rFonts w:ascii="Times New Roman" w:hAnsi="Times New Roman" w:cs="Times New Roman"/>
          <w:iCs/>
          <w:sz w:val="24"/>
          <w:szCs w:val="24"/>
          <w:lang w:val="sr-Latn-RS"/>
        </w:rPr>
        <w:t>1.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472.847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38440B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активи стална имовина износи 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1.140.856</w:t>
      </w:r>
      <w:r w:rsidRPr="006279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и представља  вредност ове имовине након увећања по основу набавке опреме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у овом периоду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обрачуна амортизације  </w:t>
      </w:r>
      <w:r w:rsidR="00110A9B">
        <w:rPr>
          <w:rFonts w:ascii="Times New Roman" w:hAnsi="Times New Roman" w:cs="Times New Roman"/>
          <w:iCs/>
          <w:sz w:val="24"/>
          <w:szCs w:val="24"/>
          <w:lang w:val="sr-Cyrl-RS"/>
        </w:rPr>
        <w:t>01.01.-</w:t>
      </w:r>
      <w:r w:rsidR="00940FCE">
        <w:rPr>
          <w:rFonts w:ascii="Times New Roman" w:hAnsi="Times New Roman" w:cs="Times New Roman"/>
          <w:iCs/>
          <w:sz w:val="24"/>
          <w:szCs w:val="24"/>
          <w:lang w:val="sr-Latn-RS"/>
        </w:rPr>
        <w:t>31.</w:t>
      </w:r>
      <w:r w:rsidR="005344FB">
        <w:rPr>
          <w:rFonts w:ascii="Times New Roman" w:hAnsi="Times New Roman" w:cs="Times New Roman"/>
          <w:iCs/>
          <w:sz w:val="24"/>
          <w:szCs w:val="24"/>
          <w:lang w:val="sr-Cyrl-RS"/>
        </w:rPr>
        <w:t>03.202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одине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F71933" w:rsidRDefault="00F71933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Стална имовина обухвата: грађевинске објекте  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765.932</w:t>
      </w:r>
      <w:r w:rsidR="005344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динара; постројења и опрему 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360.608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некретнине</w:t>
      </w:r>
      <w:r w:rsidR="001F3F7E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постројења и опрему у припреми 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11.265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улагања на туђим некретнинама 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1.981</w:t>
      </w:r>
      <w:r w:rsidR="002E711D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хиљада динара; нематеријалну имовину </w:t>
      </w:r>
      <w:r w:rsidR="00110A9B">
        <w:rPr>
          <w:rFonts w:ascii="Times New Roman" w:hAnsi="Times New Roman" w:cs="Times New Roman"/>
          <w:iCs/>
          <w:sz w:val="24"/>
          <w:szCs w:val="24"/>
          <w:lang w:val="sr-Cyrl-RS"/>
        </w:rPr>
        <w:t>1.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070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1F3F7E" w:rsidRDefault="00F71933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F3F7E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имовима износи 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331.991</w:t>
      </w:r>
      <w:r w:rsidR="001F3F7E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</w:t>
      </w:r>
      <w:r w:rsidR="001F3F7E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1F3F7E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.</w:t>
      </w:r>
      <w:r w:rsidR="001F3F7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имовина обухвата: залихе </w:t>
      </w:r>
      <w:r w:rsidR="00736A61">
        <w:rPr>
          <w:rFonts w:ascii="Times New Roman" w:hAnsi="Times New Roman" w:cs="Times New Roman"/>
          <w:iCs/>
          <w:sz w:val="24"/>
          <w:szCs w:val="24"/>
          <w:lang w:val="sr-Cyrl-RS"/>
        </w:rPr>
        <w:t>57.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872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потраживања по основу продаје 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184.724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остала краткорочна потраживања 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29.543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краткорочни финансијски пласмани 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7.310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</w:t>
      </w:r>
      <w:r w:rsidR="00B30D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готовина и готовински еквиваленти 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43.956</w:t>
      </w:r>
      <w:r w:rsidR="00B30D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краткорочна активна временска разграничења 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8.586</w:t>
      </w:r>
      <w:r w:rsidR="00B30D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38440B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пасиви  укупан капитал износи 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940.486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</w:t>
      </w:r>
      <w:r w:rsidR="00C95B3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дугорочна резервисања и обавезе 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19.868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</w:t>
      </w:r>
      <w:r w:rsidR="00C95B3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краткорочне обавезе 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115.786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, одложене пореске обавезе 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8.931</w:t>
      </w:r>
      <w:r w:rsidR="00F719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 динара, дугорочни одложени приходи и примљне донације 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387.776</w:t>
      </w:r>
      <w:r w:rsidR="00716F7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</w:t>
      </w:r>
      <w:r w:rsidR="00D02A1F">
        <w:rPr>
          <w:rFonts w:ascii="Times New Roman" w:hAnsi="Times New Roman" w:cs="Times New Roman"/>
          <w:iCs/>
          <w:sz w:val="24"/>
          <w:szCs w:val="24"/>
          <w:lang w:val="sr-Cyrl-RS"/>
        </w:rPr>
        <w:t>љад</w:t>
      </w:r>
      <w:r w:rsidR="00D02A1F">
        <w:rPr>
          <w:rFonts w:ascii="Times New Roman" w:hAnsi="Times New Roman" w:cs="Times New Roman"/>
          <w:iCs/>
          <w:sz w:val="24"/>
          <w:szCs w:val="24"/>
        </w:rPr>
        <w:t>a</w:t>
      </w:r>
      <w:r w:rsidR="00C42F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38440B" w:rsidRDefault="004A67F0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Укупан капитал обухвата : основни капитал (државни) 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608.520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нераспоређени добитак ранијих година 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326.441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текуће</w:t>
      </w:r>
      <w:r w:rsidR="00304650">
        <w:rPr>
          <w:rFonts w:ascii="Times New Roman" w:hAnsi="Times New Roman" w:cs="Times New Roman"/>
          <w:iCs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04650">
        <w:rPr>
          <w:rFonts w:ascii="Times New Roman" w:hAnsi="Times New Roman" w:cs="Times New Roman"/>
          <w:iCs/>
          <w:sz w:val="24"/>
          <w:szCs w:val="24"/>
          <w:lang w:val="sr-Cyrl-RS"/>
        </w:rPr>
        <w:t>периода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04650">
        <w:rPr>
          <w:rFonts w:ascii="Times New Roman" w:hAnsi="Times New Roman" w:cs="Times New Roman"/>
          <w:iCs/>
          <w:sz w:val="24"/>
          <w:szCs w:val="24"/>
          <w:lang w:val="sr-Cyrl-RS"/>
        </w:rPr>
        <w:t>5.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525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38440B" w:rsidRDefault="004A67F0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Дугорочна резервисања и дугорочне обавезе 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обухвата: дугорочни кредити </w:t>
      </w:r>
      <w:r w:rsidR="00E25AA4">
        <w:rPr>
          <w:rFonts w:ascii="Times New Roman" w:hAnsi="Times New Roman" w:cs="Times New Roman"/>
          <w:iCs/>
          <w:sz w:val="24"/>
          <w:szCs w:val="24"/>
          <w:lang w:val="sr-Cyrl-RS"/>
        </w:rPr>
        <w:t>7.509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резервисања за накнаде и друге бенефиције запослених</w:t>
      </w:r>
      <w:r w:rsidR="00816C56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304650">
        <w:rPr>
          <w:rFonts w:ascii="Times New Roman" w:hAnsi="Times New Roman" w:cs="Times New Roman"/>
          <w:iCs/>
          <w:sz w:val="24"/>
          <w:szCs w:val="24"/>
          <w:lang w:val="sr-Cyrl-RS"/>
        </w:rPr>
        <w:t>12.</w:t>
      </w:r>
      <w:r w:rsidR="00D44A27">
        <w:rPr>
          <w:rFonts w:ascii="Times New Roman" w:hAnsi="Times New Roman" w:cs="Times New Roman"/>
          <w:iCs/>
          <w:sz w:val="24"/>
          <w:szCs w:val="24"/>
          <w:lang w:val="sr-Cyrl-RS"/>
        </w:rPr>
        <w:t>359</w:t>
      </w:r>
      <w:r w:rsidR="00816C56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816C56">
        <w:rPr>
          <w:rFonts w:ascii="Times New Roman" w:hAnsi="Times New Roman" w:cs="Times New Roman"/>
          <w:iCs/>
          <w:sz w:val="24"/>
          <w:szCs w:val="24"/>
          <w:lang w:val="sr-Cyrl-RS"/>
        </w:rPr>
        <w:t>хиљада динара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</w:p>
    <w:p w:rsidR="001F3F7E" w:rsidRPr="00BE4B10" w:rsidRDefault="00C84619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Краткорочне обавезе обухватају: део дугорочних кредита који доспева до годину дана </w:t>
      </w:r>
      <w:r w:rsidR="00D44A2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3.914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хиљада динара; примљени аванси </w:t>
      </w:r>
      <w:r w:rsidR="00D44A27">
        <w:rPr>
          <w:rFonts w:ascii="Times New Roman" w:hAnsi="Times New Roman" w:cs="Times New Roman"/>
          <w:iCs/>
          <w:sz w:val="24"/>
          <w:szCs w:val="24"/>
          <w:lang w:val="sr-Cyrl-RS"/>
        </w:rPr>
        <w:t>20.275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обавезе према добављачима </w:t>
      </w:r>
      <w:r w:rsidR="00D44A27">
        <w:rPr>
          <w:rFonts w:ascii="Times New Roman" w:hAnsi="Times New Roman" w:cs="Times New Roman"/>
          <w:iCs/>
          <w:sz w:val="24"/>
          <w:szCs w:val="24"/>
          <w:lang w:val="sr-Cyrl-RS"/>
        </w:rPr>
        <w:t>40.303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остале кр</w:t>
      </w:r>
      <w:r w:rsidR="008B7FB3">
        <w:rPr>
          <w:rFonts w:ascii="Times New Roman" w:hAnsi="Times New Roman" w:cs="Times New Roman"/>
          <w:iCs/>
          <w:sz w:val="24"/>
          <w:szCs w:val="24"/>
          <w:lang w:val="sr-Latn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ткорочне обавезе </w:t>
      </w:r>
      <w:r w:rsidR="00D44A2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38.967 хиљада динара, </w:t>
      </w:r>
      <w:r w:rsidR="00D44A27"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>остале обавезе из пословања 581 хиљада динара</w:t>
      </w:r>
      <w:r w:rsidR="00BE4B1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; краткорочна пасивна временска разграничења </w:t>
      </w:r>
      <w:r w:rsidR="00D44A27">
        <w:rPr>
          <w:rFonts w:ascii="Times New Roman" w:hAnsi="Times New Roman" w:cs="Times New Roman"/>
          <w:iCs/>
          <w:sz w:val="24"/>
          <w:szCs w:val="24"/>
          <w:lang w:val="sr-Cyrl-RS"/>
        </w:rPr>
        <w:t>11.746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ИЗВЕШТАЈ О ТОКОВИМА ГОТОВИНЕ</w:t>
      </w:r>
    </w:p>
    <w:p w:rsidR="001F3F7E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извештају о токовима готовине стање готовине на крају обрачунског периода </w:t>
      </w:r>
      <w:r w:rsidR="004C20DD">
        <w:rPr>
          <w:rFonts w:ascii="Times New Roman" w:hAnsi="Times New Roman" w:cs="Times New Roman"/>
          <w:iCs/>
          <w:sz w:val="24"/>
          <w:szCs w:val="24"/>
          <w:lang w:val="sr-Cyrl-RS"/>
        </w:rPr>
        <w:t>мање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у односу на планом предвиђено. Планирано је </w:t>
      </w:r>
      <w:r w:rsidR="004C20DD">
        <w:rPr>
          <w:rFonts w:ascii="Times New Roman" w:hAnsi="Times New Roman" w:cs="Times New Roman"/>
          <w:iCs/>
          <w:sz w:val="24"/>
          <w:szCs w:val="24"/>
          <w:lang w:val="sr-Cyrl-RS"/>
        </w:rPr>
        <w:t>70.919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</w:t>
      </w:r>
      <w:r w:rsidR="00BE4B1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љада динара , а стање на дан </w:t>
      </w:r>
      <w:r w:rsidR="00F476CC">
        <w:rPr>
          <w:rFonts w:ascii="Times New Roman" w:hAnsi="Times New Roman" w:cs="Times New Roman"/>
          <w:iCs/>
          <w:sz w:val="24"/>
          <w:szCs w:val="24"/>
          <w:lang w:val="sr-Latn-RS"/>
        </w:rPr>
        <w:t>31.</w:t>
      </w:r>
      <w:r w:rsidR="00825296">
        <w:rPr>
          <w:rFonts w:ascii="Times New Roman" w:hAnsi="Times New Roman" w:cs="Times New Roman"/>
          <w:iCs/>
          <w:sz w:val="24"/>
          <w:szCs w:val="24"/>
          <w:lang w:val="sr-Cyrl-RS"/>
        </w:rPr>
        <w:t>03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.202</w:t>
      </w:r>
      <w:r w:rsidR="004C20DD"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је </w:t>
      </w:r>
      <w:r w:rsidR="004C20DD">
        <w:rPr>
          <w:rFonts w:ascii="Times New Roman" w:hAnsi="Times New Roman" w:cs="Times New Roman"/>
          <w:iCs/>
          <w:sz w:val="24"/>
          <w:szCs w:val="24"/>
          <w:lang w:val="sr-Cyrl-RS"/>
        </w:rPr>
        <w:t>43.956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 динара. У току</w:t>
      </w:r>
      <w:r w:rsidR="0082529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првог квартала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476CC">
        <w:rPr>
          <w:rFonts w:ascii="Times New Roman" w:hAnsi="Times New Roman" w:cs="Times New Roman"/>
          <w:iCs/>
          <w:sz w:val="24"/>
          <w:szCs w:val="24"/>
          <w:lang w:val="sr-Latn-RS"/>
        </w:rPr>
        <w:t>пословне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202</w:t>
      </w:r>
      <w:r w:rsidR="004C20DD"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остварен је нето </w:t>
      </w:r>
      <w:r w:rsidR="004C20DD">
        <w:rPr>
          <w:rFonts w:ascii="Times New Roman" w:hAnsi="Times New Roman" w:cs="Times New Roman"/>
          <w:iCs/>
          <w:sz w:val="24"/>
          <w:szCs w:val="24"/>
          <w:lang w:val="sr-Cyrl-RS"/>
        </w:rPr>
        <w:t>одлив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4C20DD">
        <w:rPr>
          <w:rFonts w:ascii="Times New Roman" w:hAnsi="Times New Roman" w:cs="Times New Roman"/>
          <w:iCs/>
          <w:sz w:val="24"/>
          <w:szCs w:val="24"/>
          <w:lang w:val="sr-Cyrl-RS"/>
        </w:rPr>
        <w:t>5.350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динара, па са готовином на почетку обрачунског периода (</w:t>
      </w:r>
      <w:r w:rsidR="004C20DD">
        <w:rPr>
          <w:rFonts w:ascii="Times New Roman" w:hAnsi="Times New Roman" w:cs="Times New Roman"/>
          <w:iCs/>
          <w:sz w:val="24"/>
          <w:szCs w:val="24"/>
          <w:lang w:val="sr-Cyrl-RS"/>
        </w:rPr>
        <w:t>49.306</w:t>
      </w:r>
      <w:r w:rsidR="00BE4B1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) стање готовине </w:t>
      </w:r>
      <w:r w:rsidR="000F1392">
        <w:rPr>
          <w:rFonts w:ascii="Times New Roman" w:hAnsi="Times New Roman" w:cs="Times New Roman"/>
          <w:iCs/>
          <w:sz w:val="24"/>
          <w:szCs w:val="24"/>
          <w:lang w:val="sr-Latn-RS"/>
        </w:rPr>
        <w:t>31.</w:t>
      </w:r>
      <w:r w:rsidR="00825296">
        <w:rPr>
          <w:rFonts w:ascii="Times New Roman" w:hAnsi="Times New Roman" w:cs="Times New Roman"/>
          <w:iCs/>
          <w:sz w:val="24"/>
          <w:szCs w:val="24"/>
          <w:lang w:val="sr-Cyrl-RS"/>
        </w:rPr>
        <w:t>03.202</w:t>
      </w:r>
      <w:r w:rsidR="004C20DD"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износи </w:t>
      </w:r>
      <w:r w:rsidR="004C20DD">
        <w:rPr>
          <w:rFonts w:ascii="Times New Roman" w:hAnsi="Times New Roman" w:cs="Times New Roman"/>
          <w:iCs/>
          <w:sz w:val="24"/>
          <w:szCs w:val="24"/>
          <w:lang w:val="sr-Cyrl-RS"/>
        </w:rPr>
        <w:t>43.956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хиљада динара.</w:t>
      </w:r>
    </w:p>
    <w:p w:rsidR="00C84619" w:rsidRDefault="00C84619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 пословних активности остварен је нето прилив у износу од  </w:t>
      </w:r>
      <w:r w:rsidR="004C20DD">
        <w:rPr>
          <w:rFonts w:ascii="Times New Roman" w:hAnsi="Times New Roman" w:cs="Times New Roman"/>
          <w:iCs/>
          <w:sz w:val="24"/>
          <w:szCs w:val="24"/>
          <w:lang w:val="sr-Cyrl-RS"/>
        </w:rPr>
        <w:t>32.734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 активности инвестирања остварен је нето одлив у износу од </w:t>
      </w:r>
      <w:r w:rsidR="004C20DD">
        <w:rPr>
          <w:rFonts w:ascii="Times New Roman" w:hAnsi="Times New Roman" w:cs="Times New Roman"/>
          <w:iCs/>
          <w:sz w:val="24"/>
          <w:szCs w:val="24"/>
          <w:lang w:val="sr-Cyrl-RS"/>
        </w:rPr>
        <w:t>11.548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8851E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динара, из активности финансирања остварен је нето одлив у износу од </w:t>
      </w:r>
      <w:r w:rsidR="004C20DD">
        <w:rPr>
          <w:rFonts w:ascii="Times New Roman" w:hAnsi="Times New Roman" w:cs="Times New Roman"/>
          <w:iCs/>
          <w:sz w:val="24"/>
          <w:szCs w:val="24"/>
          <w:lang w:val="sr-Cyrl-RS"/>
        </w:rPr>
        <w:t>26.536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4C20DD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, што укупно чини нето </w:t>
      </w:r>
      <w:r w:rsidR="004C20DD">
        <w:rPr>
          <w:rFonts w:ascii="Times New Roman" w:hAnsi="Times New Roman" w:cs="Times New Roman"/>
          <w:iCs/>
          <w:sz w:val="24"/>
          <w:szCs w:val="24"/>
          <w:lang w:val="sr-Cyrl-RS"/>
        </w:rPr>
        <w:t>одлив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</w:t>
      </w:r>
      <w:r w:rsidR="0032559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5.350 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ТРОШКОВИ ЗАПОСЛЕНИХ</w:t>
      </w:r>
    </w:p>
    <w:p w:rsidR="001F3F7E" w:rsidRDefault="001F3F7E" w:rsidP="001F3F7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Трошкови  зарада запо</w:t>
      </w:r>
      <w:r w:rsidR="009E714E">
        <w:rPr>
          <w:rFonts w:ascii="Times New Roman" w:hAnsi="Times New Roman" w:cs="Times New Roman"/>
          <w:sz w:val="24"/>
          <w:szCs w:val="24"/>
          <w:lang w:val="sr-Cyrl-RS"/>
        </w:rPr>
        <w:t>слених у периоду  од  01.01.-</w:t>
      </w:r>
      <w:r w:rsidR="000F1392">
        <w:rPr>
          <w:rFonts w:ascii="Times New Roman" w:hAnsi="Times New Roman" w:cs="Times New Roman"/>
          <w:sz w:val="24"/>
          <w:szCs w:val="24"/>
          <w:lang w:val="sr-Latn-RS"/>
        </w:rPr>
        <w:t>31.</w:t>
      </w:r>
      <w:r w:rsidR="006910E2">
        <w:rPr>
          <w:rFonts w:ascii="Times New Roman" w:hAnsi="Times New Roman" w:cs="Times New Roman"/>
          <w:sz w:val="24"/>
          <w:szCs w:val="24"/>
          <w:lang w:val="sr-Cyrl-RS"/>
        </w:rPr>
        <w:t>03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32559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F1AA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2559E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FF1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 у планираним оквирима</w:t>
      </w:r>
      <w:r w:rsidR="00FF1AAB">
        <w:rPr>
          <w:rFonts w:ascii="Times New Roman" w:hAnsi="Times New Roman" w:cs="Times New Roman"/>
          <w:sz w:val="24"/>
          <w:szCs w:val="24"/>
          <w:lang w:val="sr-Cyrl-RS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(трошкови зарада су остварени  </w:t>
      </w:r>
      <w:r w:rsidR="006910E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2559E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 у односу на планиране </w:t>
      </w:r>
      <w:r w:rsidR="000F1392"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="006910E2">
        <w:rPr>
          <w:rFonts w:ascii="Times New Roman" w:hAnsi="Times New Roman" w:cs="Times New Roman"/>
          <w:sz w:val="24"/>
          <w:szCs w:val="24"/>
          <w:lang w:val="sr-Cyrl-RS"/>
        </w:rPr>
        <w:t xml:space="preserve"> први квартал</w:t>
      </w:r>
      <w:r w:rsidR="000F1392">
        <w:rPr>
          <w:rFonts w:ascii="Times New Roman" w:hAnsi="Times New Roman" w:cs="Times New Roman"/>
          <w:sz w:val="24"/>
          <w:szCs w:val="24"/>
          <w:lang w:val="sr-Latn-RS"/>
        </w:rPr>
        <w:t xml:space="preserve"> 202</w:t>
      </w:r>
      <w:r w:rsidR="0032559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F1392">
        <w:rPr>
          <w:rFonts w:ascii="Times New Roman" w:hAnsi="Times New Roman" w:cs="Times New Roman"/>
          <w:sz w:val="24"/>
          <w:szCs w:val="24"/>
          <w:lang w:val="sr-Latn-RS"/>
        </w:rPr>
        <w:t>.годин</w:t>
      </w:r>
      <w:r w:rsidR="006910E2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8440B" w:rsidRDefault="001F3F7E" w:rsidP="001F3F7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Накнаде члановима надзорног одбора остварене су </w:t>
      </w:r>
      <w:r w:rsidR="0032559E">
        <w:rPr>
          <w:rFonts w:ascii="Times New Roman" w:hAnsi="Times New Roman" w:cs="Times New Roman"/>
          <w:sz w:val="24"/>
          <w:szCs w:val="24"/>
          <w:lang w:val="sr-Cyrl-RS"/>
        </w:rPr>
        <w:t>100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%,  путни трошкови запослених остварени су </w:t>
      </w:r>
      <w:r w:rsidR="00D02A1F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32559E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%, дневнице за службено путовање остварене су </w:t>
      </w:r>
      <w:r w:rsidR="0032559E">
        <w:rPr>
          <w:rFonts w:ascii="Times New Roman" w:hAnsi="Times New Roman" w:cs="Times New Roman"/>
          <w:sz w:val="24"/>
          <w:szCs w:val="24"/>
          <w:lang w:val="sr-Cyrl-RS"/>
        </w:rPr>
        <w:t>68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%, накнаде трошкова на службеном путу остварене су </w:t>
      </w:r>
      <w:r w:rsidR="0032559E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141D31">
        <w:rPr>
          <w:rFonts w:ascii="Times New Roman" w:hAnsi="Times New Roman" w:cs="Times New Roman"/>
          <w:sz w:val="24"/>
          <w:szCs w:val="24"/>
          <w:lang w:val="sr-Cyrl-RS"/>
        </w:rPr>
        <w:t>%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а све у односу на планирано </w:t>
      </w:r>
      <w:r w:rsidR="009E714E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6910E2">
        <w:rPr>
          <w:rFonts w:ascii="Times New Roman" w:hAnsi="Times New Roman" w:cs="Times New Roman"/>
          <w:sz w:val="24"/>
          <w:szCs w:val="24"/>
          <w:lang w:val="sr-Cyrl-RS"/>
        </w:rPr>
        <w:t>први квартал</w:t>
      </w:r>
      <w:r w:rsidR="00EC76D8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32559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C76D8"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6910E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41D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P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ДИНАМИКА ЗАПОСЛЕНИХ</w:t>
      </w:r>
    </w:p>
    <w:p w:rsidR="001F3F7E" w:rsidRDefault="001F3F7E" w:rsidP="001F3F7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Планирано је да је на крају</w:t>
      </w:r>
      <w:r w:rsidR="006910E2">
        <w:rPr>
          <w:rFonts w:ascii="Times New Roman" w:hAnsi="Times New Roman" w:cs="Times New Roman"/>
          <w:sz w:val="24"/>
          <w:szCs w:val="24"/>
          <w:lang w:val="sr-Cyrl-RS"/>
        </w:rPr>
        <w:t xml:space="preserve"> трећег квартала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пословне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32559E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 број запослених на неодређено време </w:t>
      </w:r>
      <w:r w:rsidR="0032559E">
        <w:rPr>
          <w:rFonts w:ascii="Times New Roman" w:hAnsi="Times New Roman" w:cs="Times New Roman"/>
          <w:sz w:val="24"/>
          <w:szCs w:val="24"/>
          <w:lang w:val="sr-Cyrl-RS"/>
        </w:rPr>
        <w:t>87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број запослених на одређено време </w:t>
      </w:r>
      <w:r w:rsidR="0032559E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Остварено је  </w:t>
      </w:r>
      <w:r w:rsidR="0032559E">
        <w:rPr>
          <w:rFonts w:ascii="Times New Roman" w:hAnsi="Times New Roman" w:cs="Times New Roman"/>
          <w:sz w:val="24"/>
          <w:szCs w:val="24"/>
          <w:lang w:val="sr-Cyrl-RS"/>
        </w:rPr>
        <w:t>83</w:t>
      </w:r>
      <w:r w:rsidR="005374DF">
        <w:rPr>
          <w:rFonts w:ascii="Times New Roman" w:hAnsi="Times New Roman" w:cs="Times New Roman"/>
          <w:sz w:val="24"/>
          <w:szCs w:val="24"/>
          <w:lang w:val="sr-Cyrl-RS"/>
        </w:rPr>
        <w:t xml:space="preserve">  запослених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на неодређено време и </w:t>
      </w:r>
      <w:r w:rsidR="0032559E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 на одређено време.</w:t>
      </w:r>
    </w:p>
    <w:p w:rsidR="00F24AE6" w:rsidRPr="00F24AE6" w:rsidRDefault="00F24AE6" w:rsidP="001F3F7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0B6C54" w:rsidRPr="000B6C54">
        <w:rPr>
          <w:rFonts w:ascii="Times New Roman" w:hAnsi="Times New Roman" w:cs="Times New Roman"/>
          <w:sz w:val="24"/>
          <w:szCs w:val="24"/>
          <w:lang w:val="sr-Cyrl-RS"/>
        </w:rPr>
        <w:t>РАСПОН</w:t>
      </w:r>
      <w:r w:rsidR="000B6C54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ПЛАНИРАНИХ И ИСПЛАЋЕНИХ ЗАРАДА</w:t>
      </w:r>
    </w:p>
    <w:p w:rsidR="00210FA2" w:rsidRPr="00210FA2" w:rsidRDefault="00210FA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табели Распон планираних и исплаћених зарада дати су подаци о највишој и најнижој исплаћеној заради за запослене без пословодства , укупно просечно исплаћена зарада је мања  од планом предвиђене просечне зараде за запослене  без пословодства. Подаци о исплаћеној заради за пословодство односе се на зараду директора,  просечно исплаћена зарада</w:t>
      </w:r>
      <w:r w:rsidR="00E44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мања од 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 xml:space="preserve"> просечне зараде  која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планом предвиђен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7C62" w:rsidRDefault="006E7C6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7. 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СУБВЕНЦИЈЕ И ОСТАЛИ ПРИХОДИ ИЗ БУЏЕТА</w:t>
      </w:r>
    </w:p>
    <w:p w:rsidR="003A2E7D" w:rsidRPr="008C03C7" w:rsidRDefault="0038440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 xml:space="preserve"> плану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202</w:t>
      </w:r>
      <w:r w:rsidR="0032559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. годин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>у предвиђена је уплата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 xml:space="preserve"> из буџета Општине Чајетина 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>у износу од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2559E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>.000.000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 xml:space="preserve"> динара, 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 xml:space="preserve">за набавку </w:t>
      </w:r>
      <w:r w:rsidR="004D2FB3">
        <w:rPr>
          <w:rFonts w:ascii="Times New Roman" w:hAnsi="Times New Roman" w:cs="Times New Roman"/>
          <w:sz w:val="24"/>
          <w:szCs w:val="24"/>
          <w:lang w:val="sr-Cyrl-RS"/>
        </w:rPr>
        <w:t>Цистерне фекалне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 xml:space="preserve">Уплата по овом основу </w:t>
      </w:r>
      <w:r w:rsidR="004D2FB3">
        <w:rPr>
          <w:rFonts w:ascii="Times New Roman" w:hAnsi="Times New Roman" w:cs="Times New Roman"/>
          <w:sz w:val="24"/>
          <w:szCs w:val="24"/>
          <w:lang w:val="sr-Cyrl-RS"/>
        </w:rPr>
        <w:t xml:space="preserve">се планира 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 xml:space="preserve"> након </w:t>
      </w:r>
      <w:r w:rsidR="004D2FB3">
        <w:rPr>
          <w:rFonts w:ascii="Times New Roman" w:hAnsi="Times New Roman" w:cs="Times New Roman"/>
          <w:sz w:val="24"/>
          <w:szCs w:val="24"/>
          <w:lang w:val="sr-Cyrl-RS"/>
        </w:rPr>
        <w:t>извршене набавке .</w:t>
      </w:r>
    </w:p>
    <w:p w:rsidR="003A2E7D" w:rsidRDefault="000B6C54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СРЕДСТВА ЗА ПОСЕБНЕ НАМЕНЕ</w:t>
      </w:r>
    </w:p>
    <w:p w:rsidR="005C2D89" w:rsidRPr="00F24AE6" w:rsidRDefault="005C2D89" w:rsidP="005C2D8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средстава за посебне намене планирани су трошкови репрезентације , рекламе и пропаганде.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BD752C" w:rsidRDefault="005C2D89" w:rsidP="005C2D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репрезентације су остварени </w:t>
      </w:r>
      <w:r w:rsidR="00BD752C">
        <w:rPr>
          <w:rFonts w:ascii="Times New Roman" w:hAnsi="Times New Roman" w:cs="Times New Roman"/>
          <w:sz w:val="24"/>
          <w:szCs w:val="24"/>
          <w:lang w:val="sr-Cyrl-RS"/>
        </w:rPr>
        <w:t>34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 у односу на планиране </w:t>
      </w:r>
      <w:r w:rsidR="00AB4E8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1C3D9C">
        <w:rPr>
          <w:rFonts w:ascii="Times New Roman" w:hAnsi="Times New Roman" w:cs="Times New Roman"/>
          <w:sz w:val="24"/>
          <w:szCs w:val="24"/>
          <w:lang w:val="sr-Cyrl-RS"/>
        </w:rPr>
        <w:t xml:space="preserve"> први квартал </w:t>
      </w:r>
      <w:r w:rsidR="00AB4E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202</w:t>
      </w:r>
      <w:r w:rsidR="00BD752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C3D9C">
        <w:rPr>
          <w:rFonts w:ascii="Times New Roman" w:hAnsi="Times New Roman" w:cs="Times New Roman"/>
          <w:sz w:val="24"/>
          <w:szCs w:val="24"/>
          <w:lang w:val="sr-Latn-RS"/>
        </w:rPr>
        <w:t>. годин</w:t>
      </w:r>
      <w:r w:rsidR="00BD752C">
        <w:rPr>
          <w:rFonts w:ascii="Times New Roman" w:hAnsi="Times New Roman" w:cs="Times New Roman"/>
          <w:sz w:val="24"/>
          <w:szCs w:val="24"/>
          <w:lang w:val="sr-Cyrl-RS"/>
        </w:rPr>
        <w:t>е.</w:t>
      </w:r>
      <w:r w:rsidR="001C3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C2D89" w:rsidRPr="00F24AE6" w:rsidRDefault="005C2D89" w:rsidP="005C2D8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за рекламу и пропаганду  остварени су </w:t>
      </w:r>
      <w:r w:rsidR="00BD752C">
        <w:rPr>
          <w:rFonts w:ascii="Times New Roman" w:hAnsi="Times New Roman" w:cs="Times New Roman"/>
          <w:sz w:val="24"/>
          <w:szCs w:val="24"/>
          <w:lang w:val="sr-Cyrl-RS"/>
        </w:rPr>
        <w:t>89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  у односу на планиране </w:t>
      </w:r>
      <w:r w:rsidR="00AB4E88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3D157F">
        <w:rPr>
          <w:rFonts w:ascii="Times New Roman" w:hAnsi="Times New Roman" w:cs="Times New Roman"/>
          <w:sz w:val="24"/>
          <w:szCs w:val="24"/>
          <w:lang w:val="sr-Cyrl-RS"/>
        </w:rPr>
        <w:t xml:space="preserve">први квартал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202</w:t>
      </w:r>
      <w:r w:rsidR="00BD752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. годин</w:t>
      </w:r>
      <w:r w:rsidR="003D157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0B6C54" w:rsidRDefault="000B6C54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0B6C54" w:rsidRP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sz w:val="24"/>
          <w:szCs w:val="24"/>
          <w:lang w:val="sr-Cyrl-RS"/>
        </w:rPr>
        <w:t>9. КРЕДИТНА ЗАДУЖЕНОСТ</w:t>
      </w:r>
    </w:p>
    <w:p w:rsidR="000B6C54" w:rsidRDefault="002F05EA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Предузеће на дан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31.</w:t>
      </w:r>
      <w:r w:rsidR="003D157F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166154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E0181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6615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120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54">
        <w:rPr>
          <w:rFonts w:ascii="Times New Roman" w:hAnsi="Times New Roman" w:cs="Times New Roman"/>
          <w:sz w:val="24"/>
          <w:szCs w:val="24"/>
          <w:lang w:val="sr-Cyrl-RS"/>
        </w:rPr>
        <w:t xml:space="preserve">године има обавезу по кредитима за набавку опреме у укупном износу од </w:t>
      </w:r>
      <w:r w:rsidR="00B00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1818">
        <w:rPr>
          <w:rFonts w:ascii="Times New Roman" w:hAnsi="Times New Roman" w:cs="Times New Roman"/>
          <w:sz w:val="24"/>
          <w:szCs w:val="24"/>
          <w:lang w:val="sr-Cyrl-RS"/>
        </w:rPr>
        <w:t>97.494</w:t>
      </w:r>
      <w:r w:rsidR="00B00ABF">
        <w:rPr>
          <w:rFonts w:ascii="Times New Roman" w:hAnsi="Times New Roman" w:cs="Times New Roman"/>
          <w:sz w:val="24"/>
          <w:szCs w:val="24"/>
          <w:lang w:val="sr-Cyrl-RS"/>
        </w:rPr>
        <w:t xml:space="preserve"> евра. Месечне обавезе по основу кредита су </w:t>
      </w:r>
      <w:r w:rsidR="00E01818">
        <w:rPr>
          <w:rFonts w:ascii="Times New Roman" w:hAnsi="Times New Roman" w:cs="Times New Roman"/>
          <w:sz w:val="24"/>
          <w:szCs w:val="24"/>
          <w:lang w:val="sr-Cyrl-RS"/>
        </w:rPr>
        <w:t>3.712</w:t>
      </w:r>
      <w:r w:rsidR="00B00ABF">
        <w:rPr>
          <w:rFonts w:ascii="Times New Roman" w:hAnsi="Times New Roman" w:cs="Times New Roman"/>
          <w:sz w:val="24"/>
          <w:szCs w:val="24"/>
          <w:lang w:val="sr-Cyrl-RS"/>
        </w:rPr>
        <w:t xml:space="preserve"> евра у динарској  противвредности  по средњем курсу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 xml:space="preserve"> НБС</w:t>
      </w:r>
      <w:r w:rsidR="00B00ABF">
        <w:rPr>
          <w:rFonts w:ascii="Times New Roman" w:hAnsi="Times New Roman" w:cs="Times New Roman"/>
          <w:sz w:val="24"/>
          <w:szCs w:val="24"/>
          <w:lang w:val="sr-Cyrl-RS"/>
        </w:rPr>
        <w:t xml:space="preserve"> на дан плаћања рате главнице. Плаћањ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00ABF">
        <w:rPr>
          <w:rFonts w:ascii="Times New Roman" w:hAnsi="Times New Roman" w:cs="Times New Roman"/>
          <w:sz w:val="24"/>
          <w:szCs w:val="24"/>
          <w:lang w:val="sr-Cyrl-RS"/>
        </w:rPr>
        <w:t xml:space="preserve"> камате врши се по истеку месеца и износи 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 xml:space="preserve">приближно </w:t>
      </w:r>
      <w:r w:rsidR="001F7993">
        <w:rPr>
          <w:rFonts w:ascii="Times New Roman" w:hAnsi="Times New Roman" w:cs="Times New Roman"/>
          <w:sz w:val="24"/>
          <w:szCs w:val="24"/>
          <w:lang w:val="sr-Cyrl-RS"/>
        </w:rPr>
        <w:t>660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 xml:space="preserve"> евра, такође у динарској противвредности по средњем курсу НБС на дан плаћања.</w:t>
      </w:r>
    </w:p>
    <w:p w:rsidR="003A2E7D" w:rsidRPr="00E44A52" w:rsidRDefault="003A2E7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Default="000B6C54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. ИЗВЕШТАЈ О ИНВЕСТИЦИЈАМА</w:t>
      </w:r>
    </w:p>
    <w:p w:rsidR="0051747E" w:rsidRPr="00DA3A8D" w:rsidRDefault="00AA5BFF" w:rsidP="00AA5BF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прегледу планираних и остварених инвестиција у </w:t>
      </w:r>
      <w:r w:rsidR="00114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A8D">
        <w:rPr>
          <w:rFonts w:ascii="Times New Roman" w:hAnsi="Times New Roman" w:cs="Times New Roman"/>
          <w:sz w:val="24"/>
          <w:szCs w:val="24"/>
          <w:lang w:val="sr-Latn-RS"/>
        </w:rPr>
        <w:t xml:space="preserve">току </w:t>
      </w:r>
      <w:r w:rsidR="004F1050">
        <w:rPr>
          <w:rFonts w:ascii="Times New Roman" w:hAnsi="Times New Roman" w:cs="Times New Roman"/>
          <w:sz w:val="24"/>
          <w:szCs w:val="24"/>
          <w:lang w:val="sr-Cyrl-RS"/>
        </w:rPr>
        <w:t>првог квартала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1F7993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може се видети која је опрема набављена и у ком износу. Опрема чија је  набавка планирана , а није реализована , набавке ће се обавити у наредном периоду  у складу са потреб</w:t>
      </w:r>
      <w:r w:rsidR="00DA3A8D">
        <w:rPr>
          <w:rFonts w:ascii="Times New Roman" w:hAnsi="Times New Roman" w:cs="Times New Roman"/>
          <w:sz w:val="24"/>
          <w:szCs w:val="24"/>
          <w:lang w:val="sr-Cyrl-RS"/>
        </w:rPr>
        <w:t>ама и могућностима предузећ</w:t>
      </w:r>
      <w:r w:rsidR="00DA3A8D">
        <w:rPr>
          <w:rFonts w:ascii="Times New Roman" w:hAnsi="Times New Roman" w:cs="Times New Roman"/>
          <w:sz w:val="24"/>
          <w:szCs w:val="24"/>
          <w:lang w:val="sr-Latn-RS"/>
        </w:rPr>
        <w:t>а.</w:t>
      </w:r>
    </w:p>
    <w:p w:rsidR="000B6C54" w:rsidRDefault="000B6C54" w:rsidP="000B6C5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0B6C54" w:rsidRP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sz w:val="24"/>
          <w:szCs w:val="24"/>
          <w:lang w:val="sr-Cyrl-RS"/>
        </w:rPr>
        <w:t>11. ПОТРАЖИВАЊА, ОБАВЕЗЕ И СУДСКИ СПОРОВИ</w:t>
      </w:r>
    </w:p>
    <w:p w:rsidR="000B6C54" w:rsidRDefault="0051747E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табели потраживања приказана је старосна структура потраживања од купаца по периодима са напоменом да су за потраживања од  грађана за комуналне услуге , а која  су старија од 12 месеци , предати предлози за извршење јавним извршитељима.</w:t>
      </w:r>
    </w:p>
    <w:p w:rsidR="000B6C54" w:rsidRDefault="0051747E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табели </w:t>
      </w:r>
      <w:r w:rsidR="00174FA7">
        <w:rPr>
          <w:rFonts w:ascii="Times New Roman" w:hAnsi="Times New Roman" w:cs="Times New Roman"/>
          <w:sz w:val="24"/>
          <w:szCs w:val="24"/>
          <w:lang w:val="sr-Cyrl-RS"/>
        </w:rPr>
        <w:t xml:space="preserve">обавезе приказане су обавезе према добављачима по периодима . Предузеће  све обавезе према добављачима измирује у законском року. </w:t>
      </w:r>
    </w:p>
    <w:p w:rsidR="004F1050" w:rsidRDefault="004F1050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1818" w:rsidRPr="003A2E7D" w:rsidRDefault="00E01818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481C" w:rsidRDefault="001D3787" w:rsidP="008E48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IV</w:t>
      </w:r>
      <w:r w:rsidR="003A2E7D" w:rsidRPr="003A2E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A2E7D" w:rsidRPr="003A2E7D">
        <w:rPr>
          <w:rFonts w:ascii="Times New Roman" w:hAnsi="Times New Roman" w:cs="Times New Roman"/>
          <w:b/>
          <w:sz w:val="24"/>
          <w:szCs w:val="24"/>
          <w:lang w:val="sr-Cyrl-RS"/>
        </w:rPr>
        <w:t>ЗАКЉУЧНА РАЗМАТРАЊА И НАПОМЕНЕ</w:t>
      </w:r>
    </w:p>
    <w:p w:rsidR="00C25458" w:rsidRDefault="00AA5BFF" w:rsidP="00AA5BFF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основу анализе и разматрања кретања  прихода и расхода као и ставки биланса стања и токова готовине, предузе</w:t>
      </w:r>
      <w:r w:rsidR="00DA3A8D">
        <w:rPr>
          <w:rFonts w:ascii="Times New Roman" w:hAnsi="Times New Roman" w:cs="Times New Roman"/>
          <w:bCs/>
          <w:sz w:val="24"/>
          <w:szCs w:val="24"/>
          <w:lang w:val="sr-Cyrl-RS"/>
        </w:rPr>
        <w:t>ће своје активности у наредно</w:t>
      </w:r>
      <w:r w:rsidR="00DA3A8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м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периоду  мора усмерити у правцу унапређења и побољшања у сегментима за које утврди да је то потребно, а све у циљу унапређења пословања и реализације усвојеног програма пословања.</w:t>
      </w:r>
      <w:r w:rsidR="00C2545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C25458" w:rsidRDefault="00C25458" w:rsidP="00AA5BFF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A63B0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63B0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Default="003A2E7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Default="00C25458" w:rsidP="001A63B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 w:rsidR="00501A07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3054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0C19E6">
        <w:rPr>
          <w:rFonts w:ascii="Times New Roman" w:hAnsi="Times New Roman" w:cs="Times New Roman"/>
          <w:sz w:val="24"/>
          <w:szCs w:val="24"/>
          <w:lang w:val="sr-Cyrl-RS"/>
        </w:rPr>
        <w:t>.04</w:t>
      </w:r>
      <w:r w:rsidR="00DA3A8D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1F7993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63B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bookmarkStart w:id="0" w:name="_GoBack"/>
      <w:r w:rsidR="001A6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End w:id="0"/>
      <w:r w:rsidR="001A63B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__________________</w:t>
      </w:r>
    </w:p>
    <w:p w:rsidR="00F4195D" w:rsidRPr="008D4EFF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0B6C54">
        <w:rPr>
          <w:rFonts w:ascii="Times New Roman" w:hAnsi="Times New Roman" w:cs="Times New Roman"/>
          <w:sz w:val="24"/>
          <w:szCs w:val="24"/>
          <w:lang w:val="sr-Cyrl-RS"/>
        </w:rPr>
        <w:t xml:space="preserve">          Потпис</w:t>
      </w:r>
    </w:p>
    <w:sectPr w:rsidR="00F4195D" w:rsidRPr="008D4EFF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31" w:rsidRDefault="003D6231" w:rsidP="00F4195D">
      <w:pPr>
        <w:spacing w:after="0" w:line="240" w:lineRule="auto"/>
      </w:pPr>
      <w:r>
        <w:separator/>
      </w:r>
    </w:p>
  </w:endnote>
  <w:endnote w:type="continuationSeparator" w:id="0">
    <w:p w:rsidR="003D6231" w:rsidRDefault="003D6231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95D" w:rsidRDefault="00F419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0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4195D" w:rsidRDefault="00F41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31" w:rsidRDefault="003D6231" w:rsidP="00F4195D">
      <w:pPr>
        <w:spacing w:after="0" w:line="240" w:lineRule="auto"/>
      </w:pPr>
      <w:r>
        <w:separator/>
      </w:r>
    </w:p>
  </w:footnote>
  <w:footnote w:type="continuationSeparator" w:id="0">
    <w:p w:rsidR="003D6231" w:rsidRDefault="003D6231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228"/>
    <w:multiLevelType w:val="hybridMultilevel"/>
    <w:tmpl w:val="ACF84150"/>
    <w:lvl w:ilvl="0" w:tplc="761EE2E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02D37"/>
    <w:rsid w:val="000312A6"/>
    <w:rsid w:val="0007510C"/>
    <w:rsid w:val="0008696D"/>
    <w:rsid w:val="000A4DCF"/>
    <w:rsid w:val="000B6C54"/>
    <w:rsid w:val="000C11A5"/>
    <w:rsid w:val="000C19E6"/>
    <w:rsid w:val="000E64C1"/>
    <w:rsid w:val="000F1392"/>
    <w:rsid w:val="00101D68"/>
    <w:rsid w:val="001074C9"/>
    <w:rsid w:val="00110A9B"/>
    <w:rsid w:val="0011477A"/>
    <w:rsid w:val="00117964"/>
    <w:rsid w:val="00137335"/>
    <w:rsid w:val="0013768B"/>
    <w:rsid w:val="00141D31"/>
    <w:rsid w:val="00166154"/>
    <w:rsid w:val="00174FA7"/>
    <w:rsid w:val="00180B47"/>
    <w:rsid w:val="00186AF3"/>
    <w:rsid w:val="00192B3A"/>
    <w:rsid w:val="001939FE"/>
    <w:rsid w:val="001A63B0"/>
    <w:rsid w:val="001C3D9C"/>
    <w:rsid w:val="001D3787"/>
    <w:rsid w:val="001F3F7E"/>
    <w:rsid w:val="001F7993"/>
    <w:rsid w:val="00210FA2"/>
    <w:rsid w:val="00254C56"/>
    <w:rsid w:val="002669AB"/>
    <w:rsid w:val="00274E26"/>
    <w:rsid w:val="00283378"/>
    <w:rsid w:val="002B4DF6"/>
    <w:rsid w:val="002C059B"/>
    <w:rsid w:val="002E711D"/>
    <w:rsid w:val="002F05EA"/>
    <w:rsid w:val="002F7C3B"/>
    <w:rsid w:val="00303F54"/>
    <w:rsid w:val="00304650"/>
    <w:rsid w:val="003120B8"/>
    <w:rsid w:val="0032559E"/>
    <w:rsid w:val="00360D33"/>
    <w:rsid w:val="0038440B"/>
    <w:rsid w:val="003A2E7D"/>
    <w:rsid w:val="003C163E"/>
    <w:rsid w:val="003D050F"/>
    <w:rsid w:val="003D157F"/>
    <w:rsid w:val="003D6231"/>
    <w:rsid w:val="003D6AC1"/>
    <w:rsid w:val="003E0979"/>
    <w:rsid w:val="00402262"/>
    <w:rsid w:val="00487979"/>
    <w:rsid w:val="004A67F0"/>
    <w:rsid w:val="004B030F"/>
    <w:rsid w:val="004C04E6"/>
    <w:rsid w:val="004C20DD"/>
    <w:rsid w:val="004D2FB3"/>
    <w:rsid w:val="004E76B1"/>
    <w:rsid w:val="004F1050"/>
    <w:rsid w:val="00501A07"/>
    <w:rsid w:val="0051747E"/>
    <w:rsid w:val="00520215"/>
    <w:rsid w:val="00533996"/>
    <w:rsid w:val="005344FB"/>
    <w:rsid w:val="00536074"/>
    <w:rsid w:val="005374DF"/>
    <w:rsid w:val="00580444"/>
    <w:rsid w:val="005947A1"/>
    <w:rsid w:val="00594E84"/>
    <w:rsid w:val="005C1818"/>
    <w:rsid w:val="005C2D89"/>
    <w:rsid w:val="005C5C35"/>
    <w:rsid w:val="005C7A18"/>
    <w:rsid w:val="005F1AF2"/>
    <w:rsid w:val="0060798C"/>
    <w:rsid w:val="0062374A"/>
    <w:rsid w:val="00672877"/>
    <w:rsid w:val="006910E2"/>
    <w:rsid w:val="006B40A3"/>
    <w:rsid w:val="006B60DB"/>
    <w:rsid w:val="006C081D"/>
    <w:rsid w:val="006D3A01"/>
    <w:rsid w:val="006E7C62"/>
    <w:rsid w:val="00705A31"/>
    <w:rsid w:val="007108F7"/>
    <w:rsid w:val="00716F79"/>
    <w:rsid w:val="00721AE5"/>
    <w:rsid w:val="00736A61"/>
    <w:rsid w:val="007516AF"/>
    <w:rsid w:val="007E0CEB"/>
    <w:rsid w:val="00816C56"/>
    <w:rsid w:val="00825296"/>
    <w:rsid w:val="008672D1"/>
    <w:rsid w:val="00883430"/>
    <w:rsid w:val="008851E0"/>
    <w:rsid w:val="008B7FB3"/>
    <w:rsid w:val="008C03C7"/>
    <w:rsid w:val="008D4051"/>
    <w:rsid w:val="008D4EFF"/>
    <w:rsid w:val="008E481C"/>
    <w:rsid w:val="009073A3"/>
    <w:rsid w:val="00940FCE"/>
    <w:rsid w:val="00941FDF"/>
    <w:rsid w:val="00951781"/>
    <w:rsid w:val="00975557"/>
    <w:rsid w:val="00977292"/>
    <w:rsid w:val="009953D4"/>
    <w:rsid w:val="009B1DE2"/>
    <w:rsid w:val="009E6F60"/>
    <w:rsid w:val="009E714E"/>
    <w:rsid w:val="009F03F9"/>
    <w:rsid w:val="00A05563"/>
    <w:rsid w:val="00A559BB"/>
    <w:rsid w:val="00AA0D49"/>
    <w:rsid w:val="00AA5BFF"/>
    <w:rsid w:val="00AB1E80"/>
    <w:rsid w:val="00AB4E88"/>
    <w:rsid w:val="00AF054E"/>
    <w:rsid w:val="00B00ABF"/>
    <w:rsid w:val="00B30D30"/>
    <w:rsid w:val="00BD752C"/>
    <w:rsid w:val="00BD7D24"/>
    <w:rsid w:val="00BE4B10"/>
    <w:rsid w:val="00BF085C"/>
    <w:rsid w:val="00C25458"/>
    <w:rsid w:val="00C26F76"/>
    <w:rsid w:val="00C42F78"/>
    <w:rsid w:val="00C4621C"/>
    <w:rsid w:val="00C80E7C"/>
    <w:rsid w:val="00C84619"/>
    <w:rsid w:val="00C95B34"/>
    <w:rsid w:val="00CC3C80"/>
    <w:rsid w:val="00CE6567"/>
    <w:rsid w:val="00CF3A0A"/>
    <w:rsid w:val="00D01CFF"/>
    <w:rsid w:val="00D02A1F"/>
    <w:rsid w:val="00D172D0"/>
    <w:rsid w:val="00D44A27"/>
    <w:rsid w:val="00D53740"/>
    <w:rsid w:val="00D600CD"/>
    <w:rsid w:val="00D85562"/>
    <w:rsid w:val="00DA3A8D"/>
    <w:rsid w:val="00DA5C39"/>
    <w:rsid w:val="00DC2247"/>
    <w:rsid w:val="00DC3054"/>
    <w:rsid w:val="00DC4155"/>
    <w:rsid w:val="00DF799C"/>
    <w:rsid w:val="00E01818"/>
    <w:rsid w:val="00E01CF6"/>
    <w:rsid w:val="00E06160"/>
    <w:rsid w:val="00E25AA4"/>
    <w:rsid w:val="00E44A52"/>
    <w:rsid w:val="00E54B18"/>
    <w:rsid w:val="00E57878"/>
    <w:rsid w:val="00E65055"/>
    <w:rsid w:val="00E8241F"/>
    <w:rsid w:val="00EB02FC"/>
    <w:rsid w:val="00EC0162"/>
    <w:rsid w:val="00EC74FA"/>
    <w:rsid w:val="00EC76D8"/>
    <w:rsid w:val="00ED1654"/>
    <w:rsid w:val="00EE12FA"/>
    <w:rsid w:val="00EF0F9E"/>
    <w:rsid w:val="00F11704"/>
    <w:rsid w:val="00F13246"/>
    <w:rsid w:val="00F1792B"/>
    <w:rsid w:val="00F24AE6"/>
    <w:rsid w:val="00F34B50"/>
    <w:rsid w:val="00F4195D"/>
    <w:rsid w:val="00F476CC"/>
    <w:rsid w:val="00F6168F"/>
    <w:rsid w:val="00F62B49"/>
    <w:rsid w:val="00F71933"/>
    <w:rsid w:val="00F90978"/>
    <w:rsid w:val="00F960E2"/>
    <w:rsid w:val="00FF1AAB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30F"/>
    <w:pPr>
      <w:keepNext/>
      <w:keepLines/>
      <w:spacing w:before="360" w:after="240" w:line="240" w:lineRule="auto"/>
      <w:ind w:firstLine="567"/>
      <w:jc w:val="center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86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B030F"/>
    <w:rPr>
      <w:rFonts w:ascii="Arial" w:eastAsiaTheme="majorEastAsia" w:hAnsi="Arial" w:cstheme="majorBidi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4B030F"/>
    <w:pPr>
      <w:spacing w:before="120" w:after="120" w:line="240" w:lineRule="auto"/>
      <w:ind w:left="720" w:firstLine="567"/>
      <w:contextualSpacing/>
      <w:jc w:val="both"/>
    </w:pPr>
    <w:rPr>
      <w:rFonts w:ascii="Arial" w:hAnsi="Arial"/>
    </w:rPr>
  </w:style>
  <w:style w:type="paragraph" w:styleId="NoSpacing">
    <w:name w:val="No Spacing"/>
    <w:uiPriority w:val="1"/>
    <w:qFormat/>
    <w:rsid w:val="00C84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30F"/>
    <w:pPr>
      <w:keepNext/>
      <w:keepLines/>
      <w:spacing w:before="360" w:after="240" w:line="240" w:lineRule="auto"/>
      <w:ind w:firstLine="567"/>
      <w:jc w:val="center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86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B030F"/>
    <w:rPr>
      <w:rFonts w:ascii="Arial" w:eastAsiaTheme="majorEastAsia" w:hAnsi="Arial" w:cstheme="majorBidi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4B030F"/>
    <w:pPr>
      <w:spacing w:before="120" w:after="120" w:line="240" w:lineRule="auto"/>
      <w:ind w:left="720" w:firstLine="567"/>
      <w:contextualSpacing/>
      <w:jc w:val="both"/>
    </w:pPr>
    <w:rPr>
      <w:rFonts w:ascii="Arial" w:hAnsi="Arial"/>
    </w:rPr>
  </w:style>
  <w:style w:type="paragraph" w:styleId="NoSpacing">
    <w:name w:val="No Spacing"/>
    <w:uiPriority w:val="1"/>
    <w:qFormat/>
    <w:rsid w:val="00C84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7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Rac4</cp:lastModifiedBy>
  <cp:revision>82</cp:revision>
  <cp:lastPrinted>2022-07-28T05:16:00Z</cp:lastPrinted>
  <dcterms:created xsi:type="dcterms:W3CDTF">2022-03-02T09:45:00Z</dcterms:created>
  <dcterms:modified xsi:type="dcterms:W3CDTF">2024-04-25T05:54:00Z</dcterms:modified>
</cp:coreProperties>
</file>