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комунално предузеће  Водовод Златибор </w:t>
      </w:r>
    </w:p>
    <w:p w:rsidR="00C25458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7A39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A3959">
        <w:rPr>
          <w:rFonts w:ascii="Times New Roman" w:hAnsi="Times New Roman" w:cs="Times New Roman"/>
          <w:sz w:val="24"/>
          <w:szCs w:val="24"/>
        </w:rPr>
        <w:t>0</w:t>
      </w:r>
      <w:r w:rsidR="007A395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7A3959">
        <w:rPr>
          <w:rFonts w:ascii="Times New Roman" w:hAnsi="Times New Roman" w:cs="Times New Roman"/>
          <w:sz w:val="24"/>
          <w:szCs w:val="24"/>
        </w:rPr>
        <w:t>6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C0162">
        <w:rPr>
          <w:rFonts w:ascii="Times New Roman" w:hAnsi="Times New Roman" w:cs="Times New Roman"/>
          <w:sz w:val="24"/>
          <w:szCs w:val="24"/>
        </w:rPr>
        <w:t>4</w:t>
      </w:r>
      <w:r w:rsidR="006B40A3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458" w:rsidRDefault="00C25458" w:rsidP="0013768B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13768B" w:rsidRPr="006B40A3" w:rsidRDefault="006B40A3" w:rsidP="0013768B">
      <w:pPr>
        <w:rPr>
          <w:rFonts w:ascii="Times New Roman" w:hAnsi="Times New Roman" w:cs="Times New Roman"/>
          <w:b/>
          <w:sz w:val="20"/>
          <w:szCs w:val="20"/>
        </w:rPr>
      </w:pPr>
      <w:r w:rsidRPr="006B40A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F0F9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proofErr w:type="spellStart"/>
      <w:proofErr w:type="gramStart"/>
      <w:r w:rsidR="00EF0F9E">
        <w:rPr>
          <w:rFonts w:ascii="Times New Roman" w:hAnsi="Times New Roman" w:cs="Times New Roman"/>
          <w:b/>
          <w:sz w:val="20"/>
          <w:szCs w:val="20"/>
        </w:rPr>
        <w:t>Чајетина</w:t>
      </w:r>
      <w:proofErr w:type="spellEnd"/>
      <w:r w:rsidR="00EF0F9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7A3959">
        <w:rPr>
          <w:rFonts w:ascii="Times New Roman" w:hAnsi="Times New Roman" w:cs="Times New Roman"/>
          <w:b/>
          <w:sz w:val="20"/>
          <w:szCs w:val="20"/>
        </w:rPr>
        <w:t>30</w:t>
      </w:r>
      <w:r w:rsidR="000C19E6">
        <w:rPr>
          <w:rFonts w:ascii="Times New Roman" w:hAnsi="Times New Roman" w:cs="Times New Roman"/>
          <w:b/>
          <w:sz w:val="20"/>
          <w:szCs w:val="20"/>
          <w:lang w:val="sr-Cyrl-RS"/>
        </w:rPr>
        <w:t>.0</w:t>
      </w:r>
      <w:r w:rsidR="007A3959">
        <w:rPr>
          <w:rFonts w:ascii="Times New Roman" w:hAnsi="Times New Roman" w:cs="Times New Roman"/>
          <w:b/>
          <w:sz w:val="20"/>
          <w:szCs w:val="20"/>
        </w:rPr>
        <w:t>7</w:t>
      </w:r>
      <w:r w:rsidRPr="006B40A3">
        <w:rPr>
          <w:rFonts w:ascii="Times New Roman" w:hAnsi="Times New Roman" w:cs="Times New Roman"/>
          <w:b/>
          <w:sz w:val="20"/>
          <w:szCs w:val="20"/>
        </w:rPr>
        <w:t>.202</w:t>
      </w:r>
      <w:r w:rsidR="00EC0162">
        <w:rPr>
          <w:rFonts w:ascii="Times New Roman" w:hAnsi="Times New Roman" w:cs="Times New Roman"/>
          <w:b/>
          <w:sz w:val="20"/>
          <w:szCs w:val="20"/>
        </w:rPr>
        <w:t>4</w:t>
      </w:r>
      <w:r w:rsidRPr="006B40A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Јавно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Водовод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Златибор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Чајетина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Александра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Карађорђевића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6а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3600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Сакупљање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пречишћавање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дистрибуција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воде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20302976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105060489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финансија</w:t>
      </w:r>
      <w:proofErr w:type="spell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Претежна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36.00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сакупљање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37.00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42.21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цевовода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43.22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43.12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специфични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45.20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поправка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49.41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друмски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82.99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услужне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Законски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оквир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регулисана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правилницима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уредбама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предудзеће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освнивач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proofErr w:type="gramStart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4/06, 6/07 и 6/11)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,,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26/2012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03.02.2012.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канализацији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4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13/02 и 6/2003)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прикључивања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A271B7"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lastRenderedPageBreak/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уређењу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8/97)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површинаи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облику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9/2000, 2002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одлукомуређује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Ценовник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финансирања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BF085C" w:rsidRPr="00C25458" w:rsidRDefault="004B030F" w:rsidP="00BF08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инвестирање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даљи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195D" w:rsidRDefault="00F4195D" w:rsidP="00AF0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Годишњи</w:t>
      </w:r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202</w:t>
      </w:r>
      <w:r w:rsidR="00EC0162">
        <w:rPr>
          <w:rFonts w:ascii="Times New Roman" w:hAnsi="Times New Roman" w:cs="Times New Roman"/>
          <w:sz w:val="24"/>
          <w:szCs w:val="24"/>
        </w:rPr>
        <w:t>4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6C081D">
        <w:rPr>
          <w:rFonts w:ascii="Times New Roman" w:hAnsi="Times New Roman" w:cs="Times New Roman"/>
          <w:sz w:val="24"/>
          <w:szCs w:val="24"/>
        </w:rPr>
        <w:t>30.11.202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6C081D">
        <w:rPr>
          <w:rFonts w:ascii="Times New Roman" w:hAnsi="Times New Roman" w:cs="Times New Roman"/>
          <w:sz w:val="24"/>
          <w:szCs w:val="24"/>
        </w:rPr>
        <w:t>515</w:t>
      </w:r>
      <w:r w:rsidR="00EC0162">
        <w:rPr>
          <w:rFonts w:ascii="Times New Roman" w:hAnsi="Times New Roman" w:cs="Times New Roman"/>
          <w:sz w:val="24"/>
          <w:szCs w:val="24"/>
        </w:rPr>
        <w:t>7</w:t>
      </w:r>
      <w:r w:rsidR="006C081D">
        <w:rPr>
          <w:rFonts w:ascii="Times New Roman" w:hAnsi="Times New Roman" w:cs="Times New Roman"/>
          <w:sz w:val="24"/>
          <w:szCs w:val="24"/>
        </w:rPr>
        <w:t>-</w:t>
      </w:r>
      <w:r w:rsidR="00EC0162">
        <w:rPr>
          <w:rFonts w:ascii="Times New Roman" w:hAnsi="Times New Roman" w:cs="Times New Roman"/>
          <w:sz w:val="24"/>
          <w:szCs w:val="24"/>
        </w:rPr>
        <w:t>1</w:t>
      </w:r>
      <w:r w:rsidR="006C081D">
        <w:rPr>
          <w:rFonts w:ascii="Times New Roman" w:hAnsi="Times New Roman" w:cs="Times New Roman"/>
          <w:sz w:val="24"/>
          <w:szCs w:val="24"/>
        </w:rPr>
        <w:t>/2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EC0162">
        <w:rPr>
          <w:rFonts w:ascii="Times New Roman" w:hAnsi="Times New Roman" w:cs="Times New Roman"/>
          <w:sz w:val="24"/>
          <w:szCs w:val="24"/>
        </w:rPr>
        <w:t>14</w:t>
      </w:r>
      <w:r w:rsidR="004B030F">
        <w:rPr>
          <w:rFonts w:ascii="Times New Roman" w:hAnsi="Times New Roman" w:cs="Times New Roman"/>
          <w:sz w:val="24"/>
          <w:szCs w:val="24"/>
        </w:rPr>
        <w:t>.12.202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4B030F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F054E">
        <w:rPr>
          <w:rFonts w:ascii="Times New Roman" w:hAnsi="Times New Roman" w:cs="Times New Roman"/>
          <w:sz w:val="24"/>
          <w:szCs w:val="24"/>
        </w:rPr>
        <w:t xml:space="preserve"> 02-1</w:t>
      </w:r>
      <w:r w:rsidR="00EC0162">
        <w:rPr>
          <w:rFonts w:ascii="Times New Roman" w:hAnsi="Times New Roman" w:cs="Times New Roman"/>
          <w:sz w:val="24"/>
          <w:szCs w:val="24"/>
        </w:rPr>
        <w:t>39</w:t>
      </w:r>
      <w:r w:rsidR="00AF054E">
        <w:rPr>
          <w:rFonts w:ascii="Times New Roman" w:hAnsi="Times New Roman" w:cs="Times New Roman"/>
          <w:sz w:val="24"/>
          <w:szCs w:val="24"/>
        </w:rPr>
        <w:t>/202</w:t>
      </w:r>
      <w:r w:rsidR="00EC0162">
        <w:rPr>
          <w:rFonts w:ascii="Times New Roman" w:hAnsi="Times New Roman" w:cs="Times New Roman"/>
          <w:sz w:val="24"/>
          <w:szCs w:val="24"/>
        </w:rPr>
        <w:t>3</w:t>
      </w:r>
      <w:r w:rsidR="00AF054E">
        <w:rPr>
          <w:rFonts w:ascii="Times New Roman" w:hAnsi="Times New Roman" w:cs="Times New Roman"/>
          <w:sz w:val="24"/>
          <w:szCs w:val="24"/>
        </w:rPr>
        <w:t>-01</w:t>
      </w:r>
      <w:r w:rsidR="00101D68">
        <w:rPr>
          <w:rFonts w:ascii="Times New Roman" w:hAnsi="Times New Roman" w:cs="Times New Roman"/>
          <w:sz w:val="24"/>
          <w:szCs w:val="24"/>
        </w:rPr>
        <w:t>.</w:t>
      </w: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1F3F7E" w:rsidRPr="009073A3" w:rsidRDefault="001F3F7E" w:rsidP="001F3F7E">
      <w:pPr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У  периоду 01.01.20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402262">
        <w:rPr>
          <w:rFonts w:ascii="Times New Roman" w:hAnsi="Times New Roman" w:cs="Times New Roman"/>
          <w:iCs/>
          <w:sz w:val="24"/>
          <w:szCs w:val="24"/>
          <w:lang w:val="sr-Cyrl-RS"/>
        </w:rPr>
        <w:t>3</w:t>
      </w:r>
      <w:r w:rsidR="00EF0F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до </w:t>
      </w:r>
      <w:r w:rsidR="0013188B">
        <w:rPr>
          <w:rFonts w:ascii="Times New Roman" w:hAnsi="Times New Roman" w:cs="Times New Roman"/>
          <w:iCs/>
          <w:sz w:val="24"/>
          <w:szCs w:val="24"/>
          <w:lang w:val="sr-Latn-RS"/>
        </w:rPr>
        <w:t>30</w:t>
      </w:r>
      <w:r w:rsidR="00D85562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13188B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EC0162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ово предузеће је обављало своју основну делатност( сакупљање, пречишћавање и дистрибуција воде) и  ови приходи чине  </w:t>
      </w:r>
      <w:r w:rsidR="002C059B">
        <w:rPr>
          <w:rFonts w:ascii="Times New Roman" w:hAnsi="Times New Roman" w:cs="Times New Roman"/>
          <w:iCs/>
          <w:sz w:val="24"/>
          <w:szCs w:val="24"/>
        </w:rPr>
        <w:t>55,48</w:t>
      </w:r>
      <w:r w:rsidR="00EB02FC">
        <w:rPr>
          <w:rFonts w:ascii="Times New Roman" w:hAnsi="Times New Roman" w:cs="Times New Roman"/>
          <w:iCs/>
          <w:sz w:val="24"/>
          <w:szCs w:val="24"/>
          <w:lang w:val="sr-Latn-RS"/>
        </w:rPr>
        <w:t>%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укупно остварених  прихода  у овом периоду.  У плану за целу  пословну 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274E26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годину ови  приходи имају учешће од  </w:t>
      </w:r>
      <w:r w:rsidR="00274E26">
        <w:rPr>
          <w:rFonts w:ascii="Times New Roman" w:hAnsi="Times New Roman" w:cs="Times New Roman"/>
          <w:iCs/>
          <w:sz w:val="24"/>
          <w:szCs w:val="24"/>
        </w:rPr>
        <w:t>38,42</w:t>
      </w:r>
      <w:r w:rsidR="009073A3">
        <w:rPr>
          <w:rFonts w:ascii="Times New Roman" w:hAnsi="Times New Roman" w:cs="Times New Roman"/>
          <w:iCs/>
          <w:sz w:val="24"/>
          <w:szCs w:val="24"/>
        </w:rPr>
        <w:t>%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8E481C" w:rsidRDefault="001F3F7E" w:rsidP="00BF085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Остали планирани приходи остварени су у складу са могућностима и условима пословања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току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прв</w:t>
      </w:r>
      <w:r w:rsidR="0013188B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два </w:t>
      </w:r>
      <w:r w:rsidR="0040226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квартала </w:t>
      </w:r>
      <w:r w:rsidR="00CC3C80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EC0162">
        <w:rPr>
          <w:rFonts w:ascii="Times New Roman" w:hAnsi="Times New Roman" w:cs="Times New Roman"/>
          <w:iCs/>
          <w:sz w:val="24"/>
          <w:szCs w:val="24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 године.</w:t>
      </w:r>
    </w:p>
    <w:p w:rsidR="00861D30" w:rsidRPr="00861D30" w:rsidRDefault="00861D30" w:rsidP="00BF085C">
      <w:pPr>
        <w:rPr>
          <w:rFonts w:ascii="Times New Roman" w:hAnsi="Times New Roman" w:cs="Times New Roman"/>
          <w:iCs/>
          <w:sz w:val="24"/>
          <w:szCs w:val="24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приходи у износу од </w:t>
      </w:r>
      <w:r w:rsidR="00E2339F">
        <w:rPr>
          <w:rFonts w:ascii="Times New Roman" w:hAnsi="Times New Roman" w:cs="Times New Roman"/>
          <w:iCs/>
          <w:sz w:val="24"/>
          <w:szCs w:val="24"/>
        </w:rPr>
        <w:t>243.183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обухватају приходе од основне делатности </w:t>
      </w:r>
      <w:r w:rsidR="00E2339F">
        <w:rPr>
          <w:rFonts w:ascii="Times New Roman" w:hAnsi="Times New Roman" w:cs="Times New Roman"/>
          <w:iCs/>
          <w:sz w:val="24"/>
          <w:szCs w:val="24"/>
        </w:rPr>
        <w:t>135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E2339F">
        <w:rPr>
          <w:rFonts w:ascii="Times New Roman" w:hAnsi="Times New Roman" w:cs="Times New Roman"/>
          <w:iCs/>
          <w:sz w:val="24"/>
          <w:szCs w:val="24"/>
        </w:rPr>
        <w:t>642</w:t>
      </w:r>
      <w:r w:rsidRPr="00491F93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 , а остало су приходи од грађевинских радова,прикључака на месне водоводе  , услуге обједињене наплате комуналних услуга 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939F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зимског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одржавања улица и путева,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приходи по основу државних давања и условљених донација, остали приходи.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F3F7E" w:rsidRPr="005344F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расходи укупно износе </w:t>
      </w:r>
      <w:r w:rsidR="00E2339F">
        <w:rPr>
          <w:rFonts w:ascii="Times New Roman" w:hAnsi="Times New Roman" w:cs="Times New Roman"/>
          <w:iCs/>
          <w:sz w:val="24"/>
          <w:szCs w:val="24"/>
        </w:rPr>
        <w:t>239.134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од чега су трошкови зарада и остали лични расходи  </w:t>
      </w:r>
      <w:r w:rsidR="00E2339F">
        <w:rPr>
          <w:rFonts w:ascii="Times New Roman" w:hAnsi="Times New Roman" w:cs="Times New Roman"/>
          <w:iCs/>
          <w:sz w:val="24"/>
          <w:szCs w:val="24"/>
        </w:rPr>
        <w:t>114.885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амортизација </w:t>
      </w:r>
      <w:r w:rsidR="00E2339F">
        <w:rPr>
          <w:rFonts w:ascii="Times New Roman" w:hAnsi="Times New Roman" w:cs="Times New Roman"/>
          <w:iCs/>
          <w:sz w:val="24"/>
          <w:szCs w:val="24"/>
        </w:rPr>
        <w:t>21.750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 , материјал </w:t>
      </w:r>
      <w:r w:rsidR="00E2339F">
        <w:rPr>
          <w:rFonts w:ascii="Times New Roman" w:hAnsi="Times New Roman" w:cs="Times New Roman"/>
          <w:iCs/>
          <w:sz w:val="24"/>
          <w:szCs w:val="24"/>
        </w:rPr>
        <w:t>39.388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динара,  гориво и енергија </w:t>
      </w:r>
      <w:r w:rsidR="00E2339F">
        <w:rPr>
          <w:rFonts w:ascii="Times New Roman" w:hAnsi="Times New Roman" w:cs="Times New Roman"/>
          <w:iCs/>
          <w:sz w:val="24"/>
          <w:szCs w:val="24"/>
        </w:rPr>
        <w:t>26.190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 , производне услуге </w:t>
      </w:r>
      <w:r w:rsidR="00E2339F">
        <w:rPr>
          <w:rFonts w:ascii="Times New Roman" w:hAnsi="Times New Roman" w:cs="Times New Roman"/>
          <w:iCs/>
          <w:sz w:val="24"/>
          <w:szCs w:val="24"/>
        </w:rPr>
        <w:t>27.354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, нематеријални трошкови</w:t>
      </w:r>
      <w:r w:rsid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D4051" w:rsidRP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E2339F">
        <w:rPr>
          <w:rFonts w:ascii="Times New Roman" w:hAnsi="Times New Roman" w:cs="Times New Roman"/>
          <w:iCs/>
          <w:sz w:val="24"/>
          <w:szCs w:val="24"/>
        </w:rPr>
        <w:t>9.567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динара. Остварен је пословни </w:t>
      </w:r>
      <w:r w:rsidR="002C059B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4.049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У овом 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периоду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остварен је добитак  из финансирања у износу од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3.136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, а узимајући у обзир и остале  расходе  од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1.169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 , остале  приходе  од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1.666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динара, расходе од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усклађивања вредности имовине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8.500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приходе од усклађивања вредности имовине 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>7.500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E2339F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>расходе из ранијег периода 14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укупан 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01.01.202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.-3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износи  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>6.668</w:t>
      </w:r>
      <w:r w:rsidR="00DF79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пре опорезивања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. Порески расход 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за потребе овог извештаја није утврђиван, обрачун ће бити урађен на крају пословне године.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Финансијски резултат је утврђен на основу документације која је достављена на књижење до почетка израде кварталног извештаја.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Редовни месечни трошкови за које није достављена документација (електрична енергија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, трошкови за раднике преко агенцијск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ог запошљавања, утрошак горива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утрошак хемикалија на ППВ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су укључени у процењеном изно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су на основу претходног периода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Приходи и расходи од усклађивања вред</w:t>
      </w:r>
      <w:r w:rsidR="00E233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ности финансијске имовине, 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обухваћени су овим обрачуном у ср</w:t>
      </w:r>
      <w:r w:rsidR="00C95B34"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>змерноном износу у односу на планиране за целу пословну 2024. годину.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1F3F7E" w:rsidRPr="00627970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Укупна актива  и пасива  на крају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другог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7516AF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.г. износ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>1.126.947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активи стална имовина износи 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>777.334</w:t>
      </w:r>
      <w:r w:rsidRPr="006279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и представља  вредност ове имовине након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: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увећања по основу набавке опреме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овом периоду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  <w:r w:rsidR="00416AD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искњижавања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водоводне мреже, канализационе мреже и водоводних прикључака (пренос у пословне књиге оснивача Општине Чајетина  садашње вредности 373.007 хиљада динара)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обрачуна амортизације  </w:t>
      </w:r>
      <w:r w:rsidR="00110A9B">
        <w:rPr>
          <w:rFonts w:ascii="Times New Roman" w:hAnsi="Times New Roman" w:cs="Times New Roman"/>
          <w:iCs/>
          <w:sz w:val="24"/>
          <w:szCs w:val="24"/>
          <w:lang w:val="sr-Cyrl-RS"/>
        </w:rPr>
        <w:t>01.01.-</w:t>
      </w:r>
      <w:r w:rsidR="00940FCE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940FCE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6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одине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F71933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Стална имовина обухвата: грађевинске објекте  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410.118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динара; постројења и опрему 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353.336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некретнине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постројења и опрему у припреми 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10.977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улагања на туђим некретнинама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1.9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>65</w:t>
      </w:r>
      <w:r w:rsidR="002E711D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нематеријалну имовину </w:t>
      </w:r>
      <w:r w:rsidR="00183F9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938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1F3F7E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имовима износи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349.613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.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имовина обухвата: залихе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70.038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потраживања по основу продаје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127.991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остала краткорочна потраживања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29.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030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краткорочни финансијски пласмани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6.973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готовина и готовински еквиваленти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107.483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краткорочна активна временска разграничења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8.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098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пасиви  укупан капитал износи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854.941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дугорочна резервисања и обавезе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19.868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краткорочне обавезе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123.328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, одложене пореске обавезе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8.931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динара, дугорочни одложени приходи и примљне донације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>119.879</w:t>
      </w:r>
      <w:r w:rsidR="00716F7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D02A1F">
        <w:rPr>
          <w:rFonts w:ascii="Times New Roman" w:hAnsi="Times New Roman" w:cs="Times New Roman"/>
          <w:iCs/>
          <w:sz w:val="24"/>
          <w:szCs w:val="24"/>
          <w:lang w:val="sr-Cyrl-RS"/>
        </w:rPr>
        <w:t>љад</w:t>
      </w:r>
      <w:r w:rsidR="00D02A1F">
        <w:rPr>
          <w:rFonts w:ascii="Times New Roman" w:hAnsi="Times New Roman" w:cs="Times New Roman"/>
          <w:iCs/>
          <w:sz w:val="24"/>
          <w:szCs w:val="24"/>
        </w:rPr>
        <w:t>a</w:t>
      </w:r>
      <w:r w:rsidR="00C42F7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Укупан капитал обухвата : основни капитал (државни)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608.520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нераспоређени добитак ранијих година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326.441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добитак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текуће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периода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C6AC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6.668, губитак 86.688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Губитак је евидентиран по основу искњижавања водводне и канализационе мреже.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 Дугорочна резервисања и дугорочне обавезе 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обухвата: дугорочни кредити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7.509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резервисања за накнаде и друге бенефиције запослених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12.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>359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816C56"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</w:p>
    <w:p w:rsidR="001F3F7E" w:rsidRPr="00BE4B10" w:rsidRDefault="00C84619" w:rsidP="001A63B0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Краткорочне обавезе обухватају: део дугорочних кредита који доспева до годину дана 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>2.610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примљени аванси 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>25.804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обавезе према добављачима 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>43.532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остале кр</w:t>
      </w:r>
      <w:r w:rsidR="008B7FB3">
        <w:rPr>
          <w:rFonts w:ascii="Times New Roman" w:hAnsi="Times New Roman" w:cs="Times New Roman"/>
          <w:iCs/>
          <w:sz w:val="24"/>
          <w:szCs w:val="24"/>
          <w:lang w:val="sr-Latn-RS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ткорочне обавезе 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>39.051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остале обавезе из пословања 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>480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; краткорочна пасивна временска разграничења </w:t>
      </w:r>
      <w:r w:rsidR="00B16053">
        <w:rPr>
          <w:rFonts w:ascii="Times New Roman" w:hAnsi="Times New Roman" w:cs="Times New Roman"/>
          <w:iCs/>
          <w:sz w:val="24"/>
          <w:szCs w:val="24"/>
          <w:lang w:val="sr-Cyrl-RS"/>
        </w:rPr>
        <w:t>11.851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извештају о токовима готовине стање готовине на крају обрачунског периода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веће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у односу на планом предвиђено. Планирано је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72.036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љада динара , а стање на дан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је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107.483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динара. У току</w:t>
      </w:r>
      <w:r w:rsidR="0013188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прва два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остварен је нето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58.177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динара, па са готовином на почетку обрачунског периода (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49.306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) стање готовине </w:t>
      </w:r>
      <w:r w:rsidR="000F1392">
        <w:rPr>
          <w:rFonts w:ascii="Times New Roman" w:hAnsi="Times New Roman" w:cs="Times New Roman"/>
          <w:iCs/>
          <w:sz w:val="24"/>
          <w:szCs w:val="24"/>
          <w:lang w:val="sr-Latn-RS"/>
        </w:rPr>
        <w:t>3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0F1392">
        <w:rPr>
          <w:rFonts w:ascii="Times New Roman" w:hAnsi="Times New Roman" w:cs="Times New Roman"/>
          <w:iCs/>
          <w:sz w:val="24"/>
          <w:szCs w:val="24"/>
          <w:lang w:val="sr-Latn-RS"/>
        </w:rPr>
        <w:t>.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0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6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износи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107.483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динара.</w:t>
      </w:r>
    </w:p>
    <w:p w:rsidR="00C84619" w:rsidRDefault="00C84619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пословних активности остварен је нето прилив у износу од 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123.988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активности инвестирања остварен је нето одлив у износу од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12.582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8851E0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динара, из активности финансирања остварен је нето одлив у износу од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53.226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, што укупно чини нето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</w:t>
      </w:r>
      <w:r w:rsidR="00D25931">
        <w:rPr>
          <w:rFonts w:ascii="Times New Roman" w:hAnsi="Times New Roman" w:cs="Times New Roman"/>
          <w:iCs/>
          <w:sz w:val="24"/>
          <w:szCs w:val="24"/>
          <w:lang w:val="sr-Cyrl-RS"/>
        </w:rPr>
        <w:t>58.177</w:t>
      </w:r>
      <w:r w:rsidR="003255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 зарада запо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>слених у периоду  од  01.01.-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у планираним оквирима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(трошкови зарада су остварени  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25AAA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прва два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.годин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8440B" w:rsidRDefault="001F3F7E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Накнаде члановима надзорног одбора остварене су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 путни трошкови запослених остварени су </w:t>
      </w:r>
      <w:r w:rsidR="00A25AAA">
        <w:rPr>
          <w:rFonts w:ascii="Times New Roman" w:hAnsi="Times New Roman" w:cs="Times New Roman"/>
          <w:sz w:val="24"/>
          <w:szCs w:val="24"/>
          <w:lang w:val="sr-Cyrl-RS"/>
        </w:rPr>
        <w:t>102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дневнице за службено путовање остварене су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25AAA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накнаде трошкова на службеном путу остварене су </w:t>
      </w:r>
      <w:r w:rsidR="00A25AAA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а све у односу на планирано 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прва два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Планирано је да је на крају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другог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пословне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 број запослених на неодређено време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87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запослених на одређено време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Остварено је 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5374DF">
        <w:rPr>
          <w:rFonts w:ascii="Times New Roman" w:hAnsi="Times New Roman" w:cs="Times New Roman"/>
          <w:sz w:val="24"/>
          <w:szCs w:val="24"/>
          <w:lang w:val="sr-Cyrl-RS"/>
        </w:rPr>
        <w:t xml:space="preserve">  запослених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неодређено време и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на одређено време.</w:t>
      </w:r>
    </w:p>
    <w:p w:rsidR="00F24AE6" w:rsidRDefault="00F24AE6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61D30" w:rsidRPr="00F24AE6" w:rsidRDefault="00861D30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210FA2" w:rsidRDefault="00210FA2" w:rsidP="008E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табели Распон планираних и исплаћених зарада дати су подаци о највишој и најнижој исплаћеној заради за запослене без пословодства , укупно просечно исплаћена зарада је мања  од планом предвиђене просечне зараде за запослене  без пословодства. Подаци о исплаћеној заради за пословодство односе се на зараду директора,  просечно исплаћена зарада</w:t>
      </w:r>
      <w:r w:rsidR="00E44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мања од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просечне зараде  која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 предвиђен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D30" w:rsidRPr="00861D30" w:rsidRDefault="00861D30" w:rsidP="008E481C">
      <w:pPr>
        <w:rPr>
          <w:rFonts w:ascii="Times New Roman" w:hAnsi="Times New Roman" w:cs="Times New Roman"/>
          <w:sz w:val="24"/>
          <w:szCs w:val="24"/>
        </w:rPr>
      </w:pP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3A2E7D" w:rsidRDefault="0038440B" w:rsidP="003A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плану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у предвиђена је уплата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из буџета Општине Чајетина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у износу од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.000.000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за набавку </w:t>
      </w:r>
      <w:r w:rsidR="004D2FB3">
        <w:rPr>
          <w:rFonts w:ascii="Times New Roman" w:hAnsi="Times New Roman" w:cs="Times New Roman"/>
          <w:sz w:val="24"/>
          <w:szCs w:val="24"/>
          <w:lang w:val="sr-Cyrl-RS"/>
        </w:rPr>
        <w:t>Цистерне фекалне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Уплата по овом основу </w:t>
      </w:r>
      <w:r w:rsidR="004D2FB3">
        <w:rPr>
          <w:rFonts w:ascii="Times New Roman" w:hAnsi="Times New Roman" w:cs="Times New Roman"/>
          <w:sz w:val="24"/>
          <w:szCs w:val="24"/>
          <w:lang w:val="sr-Cyrl-RS"/>
        </w:rPr>
        <w:t xml:space="preserve">се планира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након </w:t>
      </w:r>
      <w:r w:rsidR="004D2FB3">
        <w:rPr>
          <w:rFonts w:ascii="Times New Roman" w:hAnsi="Times New Roman" w:cs="Times New Roman"/>
          <w:sz w:val="24"/>
          <w:szCs w:val="24"/>
          <w:lang w:val="sr-Cyrl-RS"/>
        </w:rPr>
        <w:t>извршене набавке .</w:t>
      </w:r>
    </w:p>
    <w:p w:rsidR="00861D30" w:rsidRPr="00861D30" w:rsidRDefault="00861D30" w:rsidP="003A2E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средстава за посебне намене планирани су трошкови репрезентације , рекламе и пропаганде.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D752C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репрезентације су остварени </w:t>
      </w:r>
      <w:r w:rsidR="00861D30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 прва два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C3D9C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е.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за рекламу и пропаганду  остварени су </w:t>
      </w:r>
      <w:r w:rsidR="00861D3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прва два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2F05EA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на дан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E0181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2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има обавезу по кредитима за набавку опреме у укупном износу од 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D30">
        <w:rPr>
          <w:rFonts w:ascii="Times New Roman" w:hAnsi="Times New Roman" w:cs="Times New Roman"/>
          <w:sz w:val="24"/>
          <w:szCs w:val="24"/>
        </w:rPr>
        <w:t>86.359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евра. Месечне обавезе по основу кредита су </w:t>
      </w:r>
      <w:r w:rsidR="00E01818">
        <w:rPr>
          <w:rFonts w:ascii="Times New Roman" w:hAnsi="Times New Roman" w:cs="Times New Roman"/>
          <w:sz w:val="24"/>
          <w:szCs w:val="24"/>
          <w:lang w:val="sr-Cyrl-RS"/>
        </w:rPr>
        <w:t>3.712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 у динарској  противвредности  по средњем курсу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НБС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плаћања рате главнице. Плаћањ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камате врши се по истеку месеца и износи 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приближно 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660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евра, такође у динарској противвредности по средњем курсу НБС на дан плаћања.</w:t>
      </w:r>
    </w:p>
    <w:p w:rsidR="003A2E7D" w:rsidRPr="00E44A52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51747E" w:rsidRDefault="00AA5BFF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прегледу планираних и остварених инвестиција у </w:t>
      </w:r>
      <w:r w:rsidR="00114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 xml:space="preserve">току 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 xml:space="preserve">прва два </w:t>
      </w:r>
      <w:r w:rsidR="004F1050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квартала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може се видети која је опрема набављена и у ком износу. Опрема чија је  набавка планирана , а није реализована , набавке ће се обавити у наредном периоду  у складу са потреб</w:t>
      </w:r>
      <w:r w:rsidR="00DA3A8D">
        <w:rPr>
          <w:rFonts w:ascii="Times New Roman" w:hAnsi="Times New Roman" w:cs="Times New Roman"/>
          <w:sz w:val="24"/>
          <w:szCs w:val="24"/>
          <w:lang w:val="sr-Cyrl-RS"/>
        </w:rPr>
        <w:t>ама и могућностима предузећ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а.</w:t>
      </w:r>
    </w:p>
    <w:p w:rsidR="00861D30" w:rsidRDefault="00861D30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1D30" w:rsidRDefault="00861D30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1D30" w:rsidRPr="00DA3A8D" w:rsidRDefault="00861D30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0B6C54" w:rsidRDefault="0051747E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табели потраживања приказана је старосна структура потраживања од купаца по периодима са напоменом да су за потраживања од  грађана за комуналне услуге , а која  су старија од 12 месеци , предати предлози за извршење јавним извршитељима.</w:t>
      </w:r>
    </w:p>
    <w:p w:rsidR="000B6C54" w:rsidRDefault="0051747E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табели </w:t>
      </w:r>
      <w:r w:rsidR="00174FA7">
        <w:rPr>
          <w:rFonts w:ascii="Times New Roman" w:hAnsi="Times New Roman" w:cs="Times New Roman"/>
          <w:sz w:val="24"/>
          <w:szCs w:val="24"/>
          <w:lang w:val="sr-Cyrl-RS"/>
        </w:rPr>
        <w:t xml:space="preserve">обавезе приказане су обавезе према добављачима по периодима . Предузеће  све обавезе према добављачима измирује у законском року. </w:t>
      </w:r>
    </w:p>
    <w:p w:rsidR="004F1050" w:rsidRDefault="004F1050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1818" w:rsidRPr="003A2E7D" w:rsidRDefault="00E01818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C25458" w:rsidRDefault="00AA5BFF" w:rsidP="00AA5BF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основу анализе и разматрања кретања  прихода и расхода као и ставки биланса стања и токова готовине, предузе</w:t>
      </w:r>
      <w:r w:rsidR="00DA3A8D">
        <w:rPr>
          <w:rFonts w:ascii="Times New Roman" w:hAnsi="Times New Roman" w:cs="Times New Roman"/>
          <w:bCs/>
          <w:sz w:val="24"/>
          <w:szCs w:val="24"/>
          <w:lang w:val="sr-Cyrl-RS"/>
        </w:rPr>
        <w:t>ће своје активности у наредно</w:t>
      </w:r>
      <w:r w:rsidR="00DA3A8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периоду  мора усмерити у правцу унапређења и побољшања у сегментима за које утврди да је то потребно, а све у циљу унапређења пословања и реализације усвојеног програма пословања.</w:t>
      </w:r>
      <w:r w:rsidR="00C2545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C25458" w:rsidRDefault="00C25458" w:rsidP="00AA5BF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C25458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501A07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3188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1F799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63B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B1" w:rsidRDefault="006827B1" w:rsidP="00F4195D">
      <w:pPr>
        <w:spacing w:after="0" w:line="240" w:lineRule="auto"/>
      </w:pPr>
      <w:r>
        <w:separator/>
      </w:r>
    </w:p>
  </w:endnote>
  <w:endnote w:type="continuationSeparator" w:id="0">
    <w:p w:rsidR="006827B1" w:rsidRDefault="006827B1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D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B1" w:rsidRDefault="006827B1" w:rsidP="00F4195D">
      <w:pPr>
        <w:spacing w:after="0" w:line="240" w:lineRule="auto"/>
      </w:pPr>
      <w:r>
        <w:separator/>
      </w:r>
    </w:p>
  </w:footnote>
  <w:footnote w:type="continuationSeparator" w:id="0">
    <w:p w:rsidR="006827B1" w:rsidRDefault="006827B1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228"/>
    <w:multiLevelType w:val="hybridMultilevel"/>
    <w:tmpl w:val="ACF84150"/>
    <w:lvl w:ilvl="0" w:tplc="761EE2E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2D37"/>
    <w:rsid w:val="000312A6"/>
    <w:rsid w:val="00050B5D"/>
    <w:rsid w:val="0007510C"/>
    <w:rsid w:val="0008696D"/>
    <w:rsid w:val="000A4DCF"/>
    <w:rsid w:val="000B6C54"/>
    <w:rsid w:val="000C11A5"/>
    <w:rsid w:val="000C19E6"/>
    <w:rsid w:val="000E64C1"/>
    <w:rsid w:val="000F1392"/>
    <w:rsid w:val="00101D68"/>
    <w:rsid w:val="001074C9"/>
    <w:rsid w:val="00110A9B"/>
    <w:rsid w:val="0011477A"/>
    <w:rsid w:val="00117964"/>
    <w:rsid w:val="0013188B"/>
    <w:rsid w:val="00137335"/>
    <w:rsid w:val="0013768B"/>
    <w:rsid w:val="00141D31"/>
    <w:rsid w:val="00166154"/>
    <w:rsid w:val="00174FA7"/>
    <w:rsid w:val="00180B47"/>
    <w:rsid w:val="00183F9F"/>
    <w:rsid w:val="00186AF3"/>
    <w:rsid w:val="00192B3A"/>
    <w:rsid w:val="001939FE"/>
    <w:rsid w:val="001A63B0"/>
    <w:rsid w:val="001C3D9C"/>
    <w:rsid w:val="001D3787"/>
    <w:rsid w:val="001F3F7E"/>
    <w:rsid w:val="001F7993"/>
    <w:rsid w:val="00210FA2"/>
    <w:rsid w:val="00254C56"/>
    <w:rsid w:val="002669AB"/>
    <w:rsid w:val="00274E26"/>
    <w:rsid w:val="00283378"/>
    <w:rsid w:val="002B4DF6"/>
    <w:rsid w:val="002C059B"/>
    <w:rsid w:val="002E711D"/>
    <w:rsid w:val="002F05EA"/>
    <w:rsid w:val="002F7C3B"/>
    <w:rsid w:val="00303F54"/>
    <w:rsid w:val="00304650"/>
    <w:rsid w:val="003120B8"/>
    <w:rsid w:val="0032559E"/>
    <w:rsid w:val="00360D33"/>
    <w:rsid w:val="0038440B"/>
    <w:rsid w:val="003A2E7D"/>
    <w:rsid w:val="003C163E"/>
    <w:rsid w:val="003D050F"/>
    <w:rsid w:val="003D157F"/>
    <w:rsid w:val="003D6231"/>
    <w:rsid w:val="003D6AC1"/>
    <w:rsid w:val="003E0979"/>
    <w:rsid w:val="00402262"/>
    <w:rsid w:val="00416AD5"/>
    <w:rsid w:val="00487979"/>
    <w:rsid w:val="004A67F0"/>
    <w:rsid w:val="004B030F"/>
    <w:rsid w:val="004C04E6"/>
    <w:rsid w:val="004C20DD"/>
    <w:rsid w:val="004C6AC9"/>
    <w:rsid w:val="004D2FB3"/>
    <w:rsid w:val="004E76B1"/>
    <w:rsid w:val="004F1050"/>
    <w:rsid w:val="00501A07"/>
    <w:rsid w:val="0051747E"/>
    <w:rsid w:val="00520215"/>
    <w:rsid w:val="00533996"/>
    <w:rsid w:val="005344FB"/>
    <w:rsid w:val="00536074"/>
    <w:rsid w:val="005374DF"/>
    <w:rsid w:val="00580444"/>
    <w:rsid w:val="005947A1"/>
    <w:rsid w:val="00594E84"/>
    <w:rsid w:val="005C1818"/>
    <w:rsid w:val="005C2D89"/>
    <w:rsid w:val="005C5C35"/>
    <w:rsid w:val="005C7A18"/>
    <w:rsid w:val="005F1AF2"/>
    <w:rsid w:val="0060798C"/>
    <w:rsid w:val="0062374A"/>
    <w:rsid w:val="00672877"/>
    <w:rsid w:val="006827B1"/>
    <w:rsid w:val="006910E2"/>
    <w:rsid w:val="006B40A3"/>
    <w:rsid w:val="006B60DB"/>
    <w:rsid w:val="006C081D"/>
    <w:rsid w:val="006D3A01"/>
    <w:rsid w:val="006E7C62"/>
    <w:rsid w:val="00705A31"/>
    <w:rsid w:val="007108F7"/>
    <w:rsid w:val="00716F79"/>
    <w:rsid w:val="00721AE5"/>
    <w:rsid w:val="00736A61"/>
    <w:rsid w:val="007516AF"/>
    <w:rsid w:val="007A3959"/>
    <w:rsid w:val="007E0CEB"/>
    <w:rsid w:val="00816C56"/>
    <w:rsid w:val="00825296"/>
    <w:rsid w:val="00861D30"/>
    <w:rsid w:val="008672D1"/>
    <w:rsid w:val="00883430"/>
    <w:rsid w:val="008851E0"/>
    <w:rsid w:val="008B7FB3"/>
    <w:rsid w:val="008C03C7"/>
    <w:rsid w:val="008D4051"/>
    <w:rsid w:val="008D4EFF"/>
    <w:rsid w:val="008E481C"/>
    <w:rsid w:val="009073A3"/>
    <w:rsid w:val="00940FCE"/>
    <w:rsid w:val="00941FDF"/>
    <w:rsid w:val="00951781"/>
    <w:rsid w:val="00975557"/>
    <w:rsid w:val="00977292"/>
    <w:rsid w:val="009953D4"/>
    <w:rsid w:val="009B1DE2"/>
    <w:rsid w:val="009C0975"/>
    <w:rsid w:val="009E6F60"/>
    <w:rsid w:val="009E714E"/>
    <w:rsid w:val="009F03F9"/>
    <w:rsid w:val="00A05563"/>
    <w:rsid w:val="00A25AAA"/>
    <w:rsid w:val="00A44A65"/>
    <w:rsid w:val="00A559BB"/>
    <w:rsid w:val="00AA0D49"/>
    <w:rsid w:val="00AA5BFF"/>
    <w:rsid w:val="00AB1E80"/>
    <w:rsid w:val="00AB4E88"/>
    <w:rsid w:val="00AF054E"/>
    <w:rsid w:val="00B00ABF"/>
    <w:rsid w:val="00B16053"/>
    <w:rsid w:val="00B30D30"/>
    <w:rsid w:val="00BD752C"/>
    <w:rsid w:val="00BD7D24"/>
    <w:rsid w:val="00BE4B10"/>
    <w:rsid w:val="00BF085C"/>
    <w:rsid w:val="00C25458"/>
    <w:rsid w:val="00C26F76"/>
    <w:rsid w:val="00C42F78"/>
    <w:rsid w:val="00C4621C"/>
    <w:rsid w:val="00C80E7C"/>
    <w:rsid w:val="00C84619"/>
    <w:rsid w:val="00C95B34"/>
    <w:rsid w:val="00CC3C80"/>
    <w:rsid w:val="00CE6567"/>
    <w:rsid w:val="00CF3A0A"/>
    <w:rsid w:val="00D01CFF"/>
    <w:rsid w:val="00D02A1F"/>
    <w:rsid w:val="00D172D0"/>
    <w:rsid w:val="00D25931"/>
    <w:rsid w:val="00D44A27"/>
    <w:rsid w:val="00D53740"/>
    <w:rsid w:val="00D600CD"/>
    <w:rsid w:val="00D85562"/>
    <w:rsid w:val="00DA3A8D"/>
    <w:rsid w:val="00DA5C39"/>
    <w:rsid w:val="00DC2247"/>
    <w:rsid w:val="00DC3054"/>
    <w:rsid w:val="00DC4155"/>
    <w:rsid w:val="00DF799C"/>
    <w:rsid w:val="00E01818"/>
    <w:rsid w:val="00E01CF6"/>
    <w:rsid w:val="00E06160"/>
    <w:rsid w:val="00E2339F"/>
    <w:rsid w:val="00E25AA4"/>
    <w:rsid w:val="00E44A52"/>
    <w:rsid w:val="00E54B18"/>
    <w:rsid w:val="00E57878"/>
    <w:rsid w:val="00E65055"/>
    <w:rsid w:val="00E8241F"/>
    <w:rsid w:val="00EB02FC"/>
    <w:rsid w:val="00EC0162"/>
    <w:rsid w:val="00EC74FA"/>
    <w:rsid w:val="00EC76D8"/>
    <w:rsid w:val="00ED1654"/>
    <w:rsid w:val="00EE12FA"/>
    <w:rsid w:val="00EF0F9E"/>
    <w:rsid w:val="00F11704"/>
    <w:rsid w:val="00F13246"/>
    <w:rsid w:val="00F1792B"/>
    <w:rsid w:val="00F24AE6"/>
    <w:rsid w:val="00F34B50"/>
    <w:rsid w:val="00F4195D"/>
    <w:rsid w:val="00F476CC"/>
    <w:rsid w:val="00F6168F"/>
    <w:rsid w:val="00F62B49"/>
    <w:rsid w:val="00F71933"/>
    <w:rsid w:val="00F90978"/>
    <w:rsid w:val="00F960E2"/>
    <w:rsid w:val="00FF1AA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Rac4</cp:lastModifiedBy>
  <cp:revision>87</cp:revision>
  <cp:lastPrinted>2022-07-28T05:16:00Z</cp:lastPrinted>
  <dcterms:created xsi:type="dcterms:W3CDTF">2022-03-02T09:45:00Z</dcterms:created>
  <dcterms:modified xsi:type="dcterms:W3CDTF">2024-07-18T08:15:00Z</dcterms:modified>
</cp:coreProperties>
</file>